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eastAsia="Times New Roman"/>
          <w:b/>
          <w:bCs/>
          <w:color w:val="auto"/>
          <w:sz w:val="10"/>
          <w:szCs w:val="10"/>
          <w:highlight w:val="none"/>
        </w:rPr>
      </w:pPr>
      <w:r>
        <w:rPr>
          <w:rFonts w:eastAsia="Times New Roman"/>
          <w:b/>
          <w:bCs/>
          <w:color w:val="auto"/>
          <w:sz w:val="10"/>
          <w:szCs w:val="10"/>
          <w:highlight w:val="none"/>
        </w:rPr>
        <w:t xml:space="preserve">                                                          </w:t>
      </w:r>
      <w:bookmarkStart w:id="0" w:name="OLE_LINK2"/>
      <w:bookmarkStart w:id="1" w:name="OLE_LINK1"/>
    </w:p>
    <w:p>
      <w:pPr>
        <w:pStyle w:val="6"/>
        <w:jc w:val="center"/>
        <w:rPr>
          <w:rFonts w:eastAsia="方正小标宋简体"/>
          <w:color w:val="auto"/>
          <w:sz w:val="72"/>
          <w:szCs w:val="72"/>
          <w:highlight w:val="none"/>
        </w:rPr>
      </w:pPr>
    </w:p>
    <w:p>
      <w:pPr>
        <w:pStyle w:val="6"/>
        <w:jc w:val="center"/>
        <w:rPr>
          <w:rFonts w:hint="eastAsia" w:ascii="华文中宋" w:hAnsi="华文中宋" w:eastAsia="华文中宋" w:cs="华文中宋"/>
          <w:b/>
          <w:bCs/>
          <w:color w:val="auto"/>
          <w:sz w:val="52"/>
          <w:szCs w:val="52"/>
          <w:highlight w:val="none"/>
        </w:rPr>
      </w:pPr>
      <w:r>
        <w:rPr>
          <w:rFonts w:hint="eastAsia" w:ascii="华文中宋" w:hAnsi="华文中宋" w:eastAsia="华文中宋" w:cs="华文中宋"/>
          <w:b/>
          <w:bCs/>
          <w:color w:val="auto"/>
          <w:sz w:val="52"/>
          <w:szCs w:val="52"/>
          <w:highlight w:val="none"/>
        </w:rPr>
        <w:t>广西会展时空信息科技有限公司</w:t>
      </w:r>
    </w:p>
    <w:p>
      <w:pPr>
        <w:pStyle w:val="6"/>
        <w:jc w:val="center"/>
        <w:rPr>
          <w:rFonts w:hint="eastAsia" w:ascii="华文中宋" w:hAnsi="华文中宋" w:eastAsia="华文中宋" w:cs="华文中宋"/>
          <w:b/>
          <w:bCs/>
          <w:color w:val="auto"/>
          <w:sz w:val="52"/>
          <w:szCs w:val="52"/>
          <w:highlight w:val="none"/>
        </w:rPr>
      </w:pPr>
    </w:p>
    <w:p>
      <w:pPr>
        <w:pStyle w:val="6"/>
        <w:jc w:val="center"/>
        <w:outlineLvl w:val="0"/>
        <w:rPr>
          <w:rFonts w:hint="eastAsia" w:ascii="华文中宋" w:hAnsi="华文中宋" w:eastAsia="华文中宋" w:cs="华文中宋"/>
          <w:b/>
          <w:bCs/>
          <w:color w:val="auto"/>
          <w:sz w:val="52"/>
          <w:szCs w:val="52"/>
          <w:highlight w:val="none"/>
        </w:rPr>
      </w:pPr>
      <w:bookmarkStart w:id="2" w:name="_Toc21347"/>
      <w:r>
        <w:rPr>
          <w:rFonts w:hint="eastAsia" w:ascii="华文中宋" w:hAnsi="华文中宋" w:eastAsia="华文中宋" w:cs="华文中宋"/>
          <w:b/>
          <w:bCs/>
          <w:color w:val="auto"/>
          <w:sz w:val="52"/>
          <w:szCs w:val="52"/>
          <w:highlight w:val="none"/>
        </w:rPr>
        <w:t>竞争性磋商文件</w:t>
      </w:r>
      <w:bookmarkEnd w:id="2"/>
    </w:p>
    <w:p>
      <w:pPr>
        <w:spacing w:line="540" w:lineRule="exact"/>
        <w:ind w:firstLine="1280" w:firstLineChars="400"/>
        <w:rPr>
          <w:rFonts w:eastAsia="Times New Roman"/>
          <w:color w:val="auto"/>
          <w:sz w:val="32"/>
          <w:szCs w:val="32"/>
          <w:highlight w:val="none"/>
        </w:rPr>
      </w:pPr>
    </w:p>
    <w:p>
      <w:pPr>
        <w:spacing w:line="540" w:lineRule="exact"/>
        <w:ind w:firstLine="1280" w:firstLineChars="400"/>
        <w:rPr>
          <w:rFonts w:eastAsia="Times New Roman"/>
          <w:color w:val="auto"/>
          <w:sz w:val="32"/>
          <w:szCs w:val="32"/>
          <w:highlight w:val="none"/>
        </w:rPr>
      </w:pPr>
    </w:p>
    <w:p>
      <w:pPr>
        <w:pStyle w:val="6"/>
        <w:ind w:firstLine="2072" w:firstLineChars="645"/>
        <w:rPr>
          <w:rFonts w:eastAsia="黑体"/>
          <w:b/>
          <w:color w:val="auto"/>
          <w:sz w:val="32"/>
          <w:szCs w:val="32"/>
          <w:highlight w:val="none"/>
        </w:rPr>
      </w:pPr>
    </w:p>
    <w:p>
      <w:pPr>
        <w:pStyle w:val="6"/>
        <w:ind w:firstLine="2072" w:firstLineChars="645"/>
        <w:rPr>
          <w:rFonts w:eastAsia="黑体"/>
          <w:b/>
          <w:color w:val="auto"/>
          <w:sz w:val="32"/>
          <w:szCs w:val="32"/>
          <w:highlight w:val="none"/>
        </w:rPr>
      </w:pPr>
      <w:r>
        <w:rPr>
          <w:rFonts w:eastAsia="黑体"/>
          <w:b/>
          <w:color w:val="auto"/>
          <w:sz w:val="32"/>
          <w:szCs w:val="32"/>
          <w:highlight w:val="none"/>
        </w:rPr>
        <w:t xml:space="preserve"> </w:t>
      </w:r>
    </w:p>
    <w:p>
      <w:pPr>
        <w:pStyle w:val="6"/>
        <w:ind w:firstLine="2072" w:firstLineChars="645"/>
        <w:rPr>
          <w:rFonts w:eastAsia="黑体"/>
          <w:b/>
          <w:color w:val="auto"/>
          <w:sz w:val="32"/>
          <w:szCs w:val="32"/>
          <w:highlight w:val="none"/>
        </w:rPr>
      </w:pPr>
    </w:p>
    <w:p>
      <w:pPr>
        <w:pStyle w:val="6"/>
        <w:ind w:left="2690" w:leftChars="524" w:hanging="1590" w:hangingChars="495"/>
        <w:outlineLvl w:val="0"/>
        <w:rPr>
          <w:rFonts w:ascii="宋体" w:hAnsi="宋体" w:cs="宋体"/>
          <w:b/>
          <w:color w:val="auto"/>
          <w:sz w:val="32"/>
          <w:szCs w:val="32"/>
          <w:highlight w:val="none"/>
        </w:rPr>
      </w:pPr>
      <w:bookmarkStart w:id="3" w:name="_Toc29081"/>
      <w:r>
        <w:rPr>
          <w:rFonts w:hint="eastAsia" w:ascii="宋体" w:hAnsi="宋体" w:cs="宋体"/>
          <w:b/>
          <w:color w:val="auto"/>
          <w:sz w:val="32"/>
          <w:szCs w:val="32"/>
          <w:highlight w:val="none"/>
        </w:rPr>
        <w:t>项目名称：</w:t>
      </w:r>
      <w:r>
        <w:rPr>
          <w:rFonts w:hint="eastAsia" w:ascii="宋体" w:hAnsi="宋体" w:cs="宋体"/>
          <w:b/>
          <w:color w:val="auto"/>
          <w:sz w:val="32"/>
          <w:szCs w:val="32"/>
          <w:highlight w:val="none"/>
          <w:shd w:val="clear"/>
        </w:rPr>
        <w:t>呼叫中心系统采购服务</w:t>
      </w:r>
      <w:r>
        <w:rPr>
          <w:rFonts w:hint="eastAsia" w:ascii="宋体" w:hAnsi="宋体" w:cs="宋体"/>
          <w:b/>
          <w:color w:val="auto"/>
          <w:sz w:val="32"/>
          <w:szCs w:val="32"/>
          <w:highlight w:val="none"/>
        </w:rPr>
        <w:t>项目</w:t>
      </w:r>
      <w:bookmarkEnd w:id="3"/>
    </w:p>
    <w:p>
      <w:pPr>
        <w:pStyle w:val="6"/>
        <w:ind w:left="2690" w:leftChars="524" w:hanging="1590" w:hangingChars="495"/>
        <w:outlineLvl w:val="0"/>
        <w:rPr>
          <w:rFonts w:eastAsia="Times New Roman"/>
          <w:b/>
          <w:color w:val="auto"/>
          <w:sz w:val="32"/>
          <w:szCs w:val="32"/>
          <w:highlight w:val="none"/>
        </w:rPr>
      </w:pPr>
      <w:bookmarkStart w:id="4" w:name="_Toc27828"/>
      <w:r>
        <w:rPr>
          <w:rFonts w:ascii="宋体" w:hAnsi="宋体" w:cs="宋体"/>
          <w:b/>
          <w:color w:val="auto"/>
          <w:sz w:val="32"/>
          <w:szCs w:val="32"/>
          <w:highlight w:val="none"/>
        </w:rPr>
        <w:t>采购</w:t>
      </w:r>
      <w:r>
        <w:rPr>
          <w:rFonts w:hint="eastAsia" w:ascii="宋体" w:hAnsi="宋体" w:cs="宋体"/>
          <w:b/>
          <w:color w:val="auto"/>
          <w:sz w:val="32"/>
          <w:szCs w:val="32"/>
          <w:highlight w:val="none"/>
        </w:rPr>
        <w:t>单位：广西会展时空信息科技有限公司</w:t>
      </w:r>
      <w:bookmarkEnd w:id="4"/>
      <w:r>
        <w:rPr>
          <w:rFonts w:eastAsia="Times New Roman"/>
          <w:b/>
          <w:color w:val="auto"/>
          <w:sz w:val="32"/>
          <w:szCs w:val="32"/>
          <w:highlight w:val="none"/>
        </w:rPr>
        <w:t xml:space="preserve"> </w:t>
      </w:r>
    </w:p>
    <w:bookmarkEnd w:id="0"/>
    <w:bookmarkEnd w:id="1"/>
    <w:p>
      <w:pPr>
        <w:tabs>
          <w:tab w:val="left" w:pos="632"/>
        </w:tabs>
        <w:rPr>
          <w:rFonts w:eastAsia="Times New Roman"/>
          <w:b/>
          <w:bCs/>
          <w:color w:val="auto"/>
          <w:sz w:val="36"/>
          <w:szCs w:val="36"/>
          <w:highlight w:val="none"/>
        </w:rPr>
      </w:pPr>
    </w:p>
    <w:p>
      <w:pPr>
        <w:tabs>
          <w:tab w:val="left" w:pos="632"/>
        </w:tabs>
        <w:jc w:val="center"/>
        <w:rPr>
          <w:rFonts w:eastAsia="Times New Roman"/>
          <w:b/>
          <w:bCs/>
          <w:color w:val="auto"/>
          <w:sz w:val="36"/>
          <w:szCs w:val="36"/>
          <w:highlight w:val="none"/>
        </w:rPr>
      </w:pPr>
    </w:p>
    <w:p>
      <w:pPr>
        <w:tabs>
          <w:tab w:val="left" w:pos="632"/>
        </w:tabs>
        <w:jc w:val="center"/>
        <w:rPr>
          <w:rFonts w:eastAsia="Times New Roman"/>
          <w:b/>
          <w:bCs/>
          <w:color w:val="auto"/>
          <w:sz w:val="18"/>
          <w:szCs w:val="18"/>
          <w:highlight w:val="none"/>
        </w:rPr>
      </w:pPr>
    </w:p>
    <w:p>
      <w:pPr>
        <w:tabs>
          <w:tab w:val="left" w:pos="632"/>
        </w:tabs>
        <w:jc w:val="center"/>
        <w:rPr>
          <w:rFonts w:eastAsia="Times New Roman"/>
          <w:b/>
          <w:bCs/>
          <w:color w:val="auto"/>
          <w:sz w:val="18"/>
          <w:szCs w:val="18"/>
          <w:highlight w:val="none"/>
        </w:rPr>
      </w:pPr>
    </w:p>
    <w:p>
      <w:pPr>
        <w:tabs>
          <w:tab w:val="left" w:pos="632"/>
        </w:tabs>
        <w:jc w:val="center"/>
        <w:rPr>
          <w:rFonts w:eastAsia="Times New Roman"/>
          <w:b/>
          <w:bCs/>
          <w:color w:val="auto"/>
          <w:sz w:val="18"/>
          <w:szCs w:val="18"/>
          <w:highlight w:val="none"/>
        </w:rPr>
      </w:pPr>
    </w:p>
    <w:p>
      <w:pPr>
        <w:tabs>
          <w:tab w:val="left" w:pos="632"/>
        </w:tabs>
        <w:jc w:val="center"/>
        <w:rPr>
          <w:rFonts w:eastAsia="Times New Roman"/>
          <w:b/>
          <w:bCs/>
          <w:color w:val="auto"/>
          <w:sz w:val="18"/>
          <w:szCs w:val="18"/>
          <w:highlight w:val="none"/>
        </w:rPr>
      </w:pPr>
    </w:p>
    <w:p>
      <w:pPr>
        <w:spacing w:line="540" w:lineRule="exact"/>
        <w:ind w:firstLine="3040" w:firstLineChars="950"/>
        <w:rPr>
          <w:rFonts w:eastAsia="Times New Roman"/>
          <w:color w:val="auto"/>
          <w:sz w:val="32"/>
          <w:szCs w:val="32"/>
          <w:highlight w:val="none"/>
        </w:rPr>
      </w:pPr>
      <w:r>
        <w:rPr>
          <w:rFonts w:hint="eastAsia"/>
          <w:color w:val="auto"/>
          <w:sz w:val="32"/>
          <w:szCs w:val="32"/>
          <w:highlight w:val="none"/>
        </w:rPr>
        <w:t>202</w:t>
      </w:r>
      <w:r>
        <w:rPr>
          <w:rFonts w:hint="eastAsia"/>
          <w:color w:val="auto"/>
          <w:sz w:val="32"/>
          <w:szCs w:val="32"/>
          <w:highlight w:val="none"/>
          <w:lang w:val="en-US" w:eastAsia="zh-CN"/>
        </w:rPr>
        <w:t>3</w:t>
      </w:r>
      <w:r>
        <w:rPr>
          <w:rFonts w:hint="eastAsia" w:ascii="宋体" w:hAnsi="宋体" w:cs="宋体"/>
          <w:color w:val="auto"/>
          <w:sz w:val="32"/>
          <w:szCs w:val="32"/>
          <w:highlight w:val="none"/>
        </w:rPr>
        <w:t>年</w:t>
      </w:r>
      <w:r>
        <w:rPr>
          <w:color w:val="auto"/>
          <w:sz w:val="32"/>
          <w:szCs w:val="32"/>
          <w:highlight w:val="none"/>
        </w:rPr>
        <w:t xml:space="preserve"> </w:t>
      </w:r>
      <w:r>
        <w:rPr>
          <w:rFonts w:hint="eastAsia"/>
          <w:color w:val="auto"/>
          <w:sz w:val="32"/>
          <w:szCs w:val="32"/>
          <w:highlight w:val="none"/>
          <w:lang w:val="en-US" w:eastAsia="zh-CN"/>
        </w:rPr>
        <w:t>3</w:t>
      </w:r>
      <w:r>
        <w:rPr>
          <w:rFonts w:hint="eastAsia" w:ascii="宋体" w:hAnsi="宋体" w:cs="宋体"/>
          <w:color w:val="auto"/>
          <w:sz w:val="32"/>
          <w:szCs w:val="32"/>
          <w:highlight w:val="none"/>
        </w:rPr>
        <w:t>月</w:t>
      </w:r>
      <w:r>
        <w:rPr>
          <w:rFonts w:hint="eastAsia" w:ascii="宋体" w:hAnsi="宋体" w:cs="宋体"/>
          <w:color w:val="auto"/>
          <w:sz w:val="32"/>
          <w:szCs w:val="32"/>
          <w:highlight w:val="none"/>
          <w:lang w:val="en-US" w:eastAsia="zh-CN"/>
        </w:rPr>
        <w:t>26</w:t>
      </w:r>
      <w:r>
        <w:rPr>
          <w:rFonts w:hint="eastAsia" w:ascii="宋体" w:hAnsi="宋体" w:cs="宋体"/>
          <w:color w:val="auto"/>
          <w:sz w:val="32"/>
          <w:szCs w:val="32"/>
          <w:highlight w:val="none"/>
        </w:rPr>
        <w:t>日</w:t>
      </w:r>
    </w:p>
    <w:p>
      <w:pPr>
        <w:tabs>
          <w:tab w:val="left" w:pos="632"/>
        </w:tabs>
        <w:rPr>
          <w:b/>
          <w:bCs/>
          <w:color w:val="auto"/>
          <w:sz w:val="18"/>
          <w:szCs w:val="18"/>
          <w:highlight w:val="none"/>
        </w:rPr>
      </w:pPr>
    </w:p>
    <w:p>
      <w:pPr>
        <w:spacing w:line="400" w:lineRule="exact"/>
        <w:jc w:val="center"/>
        <w:rPr>
          <w:b/>
          <w:color w:val="auto"/>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701" w:right="1531" w:bottom="1701" w:left="1701" w:header="851" w:footer="992" w:gutter="0"/>
          <w:pgNumType w:start="1"/>
          <w:cols w:space="720" w:num="1"/>
          <w:titlePg/>
          <w:docGrid w:type="lines" w:linePitch="312" w:charSpace="0"/>
        </w:sectPr>
      </w:pPr>
    </w:p>
    <w:p>
      <w:pPr>
        <w:jc w:val="center"/>
        <w:rPr>
          <w:rFonts w:ascii="华文中宋" w:hAnsi="华文中宋" w:eastAsia="华文中宋" w:cs="华文中宋"/>
          <w:color w:val="auto"/>
          <w:sz w:val="44"/>
          <w:szCs w:val="44"/>
          <w:highlight w:val="none"/>
        </w:rPr>
      </w:pPr>
      <w:r>
        <w:rPr>
          <w:rFonts w:hint="eastAsia" w:ascii="华文中宋" w:hAnsi="华文中宋" w:eastAsia="华文中宋" w:cs="华文中宋"/>
          <w:color w:val="auto"/>
          <w:sz w:val="44"/>
          <w:szCs w:val="44"/>
          <w:highlight w:val="none"/>
        </w:rPr>
        <w:t>目</w:t>
      </w:r>
      <w:r>
        <w:rPr>
          <w:rFonts w:ascii="华文中宋" w:hAnsi="华文中宋" w:eastAsia="华文中宋" w:cs="华文中宋"/>
          <w:color w:val="auto"/>
          <w:sz w:val="44"/>
          <w:szCs w:val="44"/>
          <w:highlight w:val="none"/>
        </w:rPr>
        <w:t xml:space="preserve">  </w:t>
      </w:r>
      <w:r>
        <w:rPr>
          <w:rFonts w:hint="eastAsia" w:ascii="华文中宋" w:hAnsi="华文中宋" w:eastAsia="华文中宋" w:cs="华文中宋"/>
          <w:color w:val="auto"/>
          <w:sz w:val="44"/>
          <w:szCs w:val="44"/>
          <w:highlight w:val="none"/>
        </w:rPr>
        <w:t>录</w:t>
      </w:r>
    </w:p>
    <w:p>
      <w:pPr>
        <w:pStyle w:val="14"/>
        <w:ind w:firstLine="241"/>
        <w:rPr>
          <w:color w:val="auto"/>
          <w:highlight w:val="none"/>
        </w:rPr>
      </w:pPr>
    </w:p>
    <w:p>
      <w:pPr>
        <w:pStyle w:val="14"/>
        <w:tabs>
          <w:tab w:val="right" w:leader="dot" w:pos="9070"/>
          <w:tab w:val="clear" w:pos="8398"/>
        </w:tabs>
        <w:ind w:firstLine="0" w:firstLineChars="0"/>
        <w:jc w:val="both"/>
        <w:rPr>
          <w:rFonts w:hint="eastAsia" w:ascii="仿宋_GB2312" w:hAnsi="仿宋_GB2312" w:eastAsia="仿宋_GB2312" w:cs="仿宋_GB2312"/>
          <w:b w:val="0"/>
          <w:bCs w:val="0"/>
          <w:color w:val="auto"/>
          <w:sz w:val="28"/>
          <w:szCs w:val="28"/>
          <w:highlight w:val="none"/>
        </w:rPr>
      </w:pPr>
      <w:r>
        <w:rPr>
          <w:rFonts w:ascii="Times New Roman" w:hAnsi="Times New Roman"/>
          <w:color w:val="auto"/>
          <w:sz w:val="36"/>
          <w:szCs w:val="36"/>
          <w:highlight w:val="none"/>
        </w:rPr>
        <w:fldChar w:fldCharType="begin"/>
      </w:r>
      <w:r>
        <w:rPr>
          <w:rFonts w:ascii="Times New Roman" w:hAnsi="Times New Roman"/>
          <w:color w:val="auto"/>
          <w:sz w:val="36"/>
          <w:szCs w:val="36"/>
          <w:highlight w:val="none"/>
        </w:rPr>
        <w:instrText xml:space="preserve">TOC \o "1-3" \h \u </w:instrText>
      </w:r>
      <w:r>
        <w:rPr>
          <w:rFonts w:ascii="Times New Roman" w:hAnsi="Times New Roman"/>
          <w:color w:val="auto"/>
          <w:sz w:val="36"/>
          <w:szCs w:val="36"/>
          <w:highlight w:val="none"/>
        </w:rPr>
        <w:fldChar w:fldCharType="separate"/>
      </w:r>
    </w:p>
    <w:sdt>
      <w:sdtPr>
        <w:rPr>
          <w:rFonts w:ascii="宋体" w:hAnsi="宋体" w:eastAsia="宋体" w:cs="Times New Roman"/>
          <w:kern w:val="2"/>
          <w:sz w:val="21"/>
          <w:szCs w:val="24"/>
          <w:lang w:val="en-US" w:eastAsia="zh-CN" w:bidi="ar-SA"/>
        </w:rPr>
        <w:id w:val="147472168"/>
        <w15:color w:val="DBDBDB"/>
        <w:docPartObj>
          <w:docPartGallery w:val="Table of Contents"/>
          <w:docPartUnique/>
        </w:docPartObj>
      </w:sdtPr>
      <w:sdtEndPr>
        <w:rPr>
          <w:rFonts w:hint="eastAsia" w:ascii="Times New Roman" w:hAnsi="Times New Roman" w:eastAsia="宋体" w:cs="Times New Roman"/>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p>
        <w:p>
          <w:pPr>
            <w:pStyle w:val="40"/>
            <w:tabs>
              <w:tab w:val="right" w:leader="dot" w:pos="9070"/>
            </w:tabs>
          </w:pPr>
          <w:r>
            <w:rPr>
              <w:rFonts w:hint="eastAsia"/>
            </w:rPr>
            <w:fldChar w:fldCharType="begin"/>
          </w:r>
          <w:r>
            <w:rPr>
              <w:rFonts w:hint="eastAsia"/>
            </w:rPr>
            <w:instrText xml:space="preserve">TOC \o "1-1" \h \u </w:instrText>
          </w:r>
          <w:r>
            <w:rPr>
              <w:rFonts w:hint="eastAsia"/>
            </w:rPr>
            <w:fldChar w:fldCharType="separate"/>
          </w:r>
        </w:p>
        <w:p>
          <w:pPr>
            <w:pStyle w:val="40"/>
            <w:tabs>
              <w:tab w:val="right" w:leader="dot" w:pos="9070"/>
            </w:tabs>
            <w:rPr>
              <w:rFonts w:hint="eastAsia" w:ascii="华文中宋" w:hAnsi="华文中宋" w:eastAsia="华文中宋" w:cs="华文中宋"/>
              <w:sz w:val="28"/>
              <w:szCs w:val="28"/>
            </w:rPr>
          </w:pPr>
          <w:r>
            <w:rPr>
              <w:rFonts w:hint="eastAsia" w:ascii="华文中宋" w:hAnsi="华文中宋" w:eastAsia="华文中宋" w:cs="华文中宋"/>
              <w:sz w:val="28"/>
              <w:szCs w:val="28"/>
            </w:rPr>
            <w:fldChar w:fldCharType="begin"/>
          </w:r>
          <w:r>
            <w:rPr>
              <w:rFonts w:hint="eastAsia" w:ascii="华文中宋" w:hAnsi="华文中宋" w:eastAsia="华文中宋" w:cs="华文中宋"/>
              <w:sz w:val="28"/>
              <w:szCs w:val="28"/>
            </w:rPr>
            <w:instrText xml:space="preserve"> HYPERLINK \l _Toc19809 </w:instrText>
          </w:r>
          <w:r>
            <w:rPr>
              <w:rFonts w:hint="eastAsia" w:ascii="华文中宋" w:hAnsi="华文中宋" w:eastAsia="华文中宋" w:cs="华文中宋"/>
              <w:sz w:val="28"/>
              <w:szCs w:val="28"/>
            </w:rPr>
            <w:fldChar w:fldCharType="separate"/>
          </w:r>
          <w:r>
            <w:rPr>
              <w:rFonts w:hint="eastAsia" w:ascii="华文中宋" w:hAnsi="华文中宋" w:eastAsia="华文中宋" w:cs="华文中宋"/>
              <w:sz w:val="28"/>
              <w:szCs w:val="28"/>
              <w:highlight w:val="none"/>
            </w:rPr>
            <w:t>第一章  竞争性磋商公告</w:t>
          </w:r>
          <w:r>
            <w:rPr>
              <w:rFonts w:hint="eastAsia" w:ascii="华文中宋" w:hAnsi="华文中宋" w:eastAsia="华文中宋" w:cs="华文中宋"/>
              <w:sz w:val="28"/>
              <w:szCs w:val="28"/>
            </w:rPr>
            <w:tab/>
          </w:r>
          <w:r>
            <w:rPr>
              <w:rFonts w:hint="eastAsia" w:ascii="华文中宋" w:hAnsi="华文中宋" w:eastAsia="华文中宋" w:cs="华文中宋"/>
              <w:sz w:val="28"/>
              <w:szCs w:val="28"/>
            </w:rPr>
            <w:fldChar w:fldCharType="begin"/>
          </w:r>
          <w:r>
            <w:rPr>
              <w:rFonts w:hint="eastAsia" w:ascii="华文中宋" w:hAnsi="华文中宋" w:eastAsia="华文中宋" w:cs="华文中宋"/>
              <w:sz w:val="28"/>
              <w:szCs w:val="28"/>
            </w:rPr>
            <w:instrText xml:space="preserve"> PAGEREF _Toc19809 \h </w:instrText>
          </w:r>
          <w:r>
            <w:rPr>
              <w:rFonts w:hint="eastAsia" w:ascii="华文中宋" w:hAnsi="华文中宋" w:eastAsia="华文中宋" w:cs="华文中宋"/>
              <w:sz w:val="28"/>
              <w:szCs w:val="28"/>
            </w:rPr>
            <w:fldChar w:fldCharType="separate"/>
          </w:r>
          <w:r>
            <w:rPr>
              <w:rFonts w:hint="eastAsia" w:ascii="华文中宋" w:hAnsi="华文中宋" w:eastAsia="华文中宋" w:cs="华文中宋"/>
              <w:sz w:val="28"/>
              <w:szCs w:val="28"/>
            </w:rPr>
            <w:t>11</w:t>
          </w:r>
          <w:r>
            <w:rPr>
              <w:rFonts w:hint="eastAsia" w:ascii="华文中宋" w:hAnsi="华文中宋" w:eastAsia="华文中宋" w:cs="华文中宋"/>
              <w:sz w:val="28"/>
              <w:szCs w:val="28"/>
            </w:rPr>
            <w:fldChar w:fldCharType="end"/>
          </w:r>
          <w:r>
            <w:rPr>
              <w:rFonts w:hint="eastAsia" w:ascii="华文中宋" w:hAnsi="华文中宋" w:eastAsia="华文中宋" w:cs="华文中宋"/>
              <w:sz w:val="28"/>
              <w:szCs w:val="28"/>
            </w:rPr>
            <w:fldChar w:fldCharType="end"/>
          </w:r>
        </w:p>
        <w:p>
          <w:pPr>
            <w:pStyle w:val="40"/>
            <w:tabs>
              <w:tab w:val="right" w:leader="dot" w:pos="9070"/>
            </w:tabs>
            <w:rPr>
              <w:rFonts w:hint="eastAsia" w:ascii="华文中宋" w:hAnsi="华文中宋" w:eastAsia="华文中宋" w:cs="华文中宋"/>
              <w:sz w:val="28"/>
              <w:szCs w:val="28"/>
            </w:rPr>
          </w:pPr>
          <w:r>
            <w:rPr>
              <w:rFonts w:hint="eastAsia" w:ascii="华文中宋" w:hAnsi="华文中宋" w:eastAsia="华文中宋" w:cs="华文中宋"/>
              <w:sz w:val="28"/>
              <w:szCs w:val="28"/>
            </w:rPr>
            <w:fldChar w:fldCharType="begin"/>
          </w:r>
          <w:r>
            <w:rPr>
              <w:rFonts w:hint="eastAsia" w:ascii="华文中宋" w:hAnsi="华文中宋" w:eastAsia="华文中宋" w:cs="华文中宋"/>
              <w:sz w:val="28"/>
              <w:szCs w:val="28"/>
            </w:rPr>
            <w:instrText xml:space="preserve"> HYPERLINK \l _Toc31694 </w:instrText>
          </w:r>
          <w:r>
            <w:rPr>
              <w:rFonts w:hint="eastAsia" w:ascii="华文中宋" w:hAnsi="华文中宋" w:eastAsia="华文中宋" w:cs="华文中宋"/>
              <w:sz w:val="28"/>
              <w:szCs w:val="28"/>
            </w:rPr>
            <w:fldChar w:fldCharType="separate"/>
          </w:r>
          <w:r>
            <w:rPr>
              <w:rFonts w:hint="eastAsia" w:ascii="华文中宋" w:hAnsi="华文中宋" w:eastAsia="华文中宋" w:cs="华文中宋"/>
              <w:sz w:val="28"/>
              <w:szCs w:val="28"/>
              <w:highlight w:val="none"/>
            </w:rPr>
            <w:t xml:space="preserve">第二章 </w:t>
          </w:r>
          <w:r>
            <w:rPr>
              <w:rFonts w:hint="eastAsia" w:ascii="华文中宋" w:hAnsi="华文中宋" w:eastAsia="华文中宋" w:cs="华文中宋"/>
              <w:sz w:val="28"/>
              <w:szCs w:val="28"/>
              <w:highlight w:val="none"/>
              <w:lang w:val="en-US" w:eastAsia="zh-CN"/>
            </w:rPr>
            <w:t xml:space="preserve"> </w:t>
          </w:r>
          <w:r>
            <w:rPr>
              <w:rFonts w:hint="eastAsia" w:ascii="华文中宋" w:hAnsi="华文中宋" w:eastAsia="华文中宋" w:cs="华文中宋"/>
              <w:sz w:val="28"/>
              <w:szCs w:val="28"/>
              <w:highlight w:val="none"/>
            </w:rPr>
            <w:t>项目服务要求</w:t>
          </w:r>
          <w:r>
            <w:rPr>
              <w:rFonts w:hint="eastAsia" w:ascii="华文中宋" w:hAnsi="华文中宋" w:eastAsia="华文中宋" w:cs="华文中宋"/>
              <w:sz w:val="28"/>
              <w:szCs w:val="28"/>
            </w:rPr>
            <w:tab/>
          </w:r>
          <w:r>
            <w:rPr>
              <w:rFonts w:hint="eastAsia" w:ascii="华文中宋" w:hAnsi="华文中宋" w:eastAsia="华文中宋" w:cs="华文中宋"/>
              <w:sz w:val="28"/>
              <w:szCs w:val="28"/>
            </w:rPr>
            <w:fldChar w:fldCharType="begin"/>
          </w:r>
          <w:r>
            <w:rPr>
              <w:rFonts w:hint="eastAsia" w:ascii="华文中宋" w:hAnsi="华文中宋" w:eastAsia="华文中宋" w:cs="华文中宋"/>
              <w:sz w:val="28"/>
              <w:szCs w:val="28"/>
            </w:rPr>
            <w:instrText xml:space="preserve"> PAGEREF _Toc31694 \h </w:instrText>
          </w:r>
          <w:r>
            <w:rPr>
              <w:rFonts w:hint="eastAsia" w:ascii="华文中宋" w:hAnsi="华文中宋" w:eastAsia="华文中宋" w:cs="华文中宋"/>
              <w:sz w:val="28"/>
              <w:szCs w:val="28"/>
            </w:rPr>
            <w:fldChar w:fldCharType="separate"/>
          </w:r>
          <w:r>
            <w:rPr>
              <w:rFonts w:hint="eastAsia" w:ascii="华文中宋" w:hAnsi="华文中宋" w:eastAsia="华文中宋" w:cs="华文中宋"/>
              <w:sz w:val="28"/>
              <w:szCs w:val="28"/>
            </w:rPr>
            <w:t>4</w:t>
          </w:r>
          <w:r>
            <w:rPr>
              <w:rFonts w:hint="eastAsia" w:ascii="华文中宋" w:hAnsi="华文中宋" w:eastAsia="华文中宋" w:cs="华文中宋"/>
              <w:sz w:val="28"/>
              <w:szCs w:val="28"/>
            </w:rPr>
            <w:fldChar w:fldCharType="end"/>
          </w:r>
          <w:r>
            <w:rPr>
              <w:rFonts w:hint="eastAsia" w:ascii="华文中宋" w:hAnsi="华文中宋" w:eastAsia="华文中宋" w:cs="华文中宋"/>
              <w:sz w:val="28"/>
              <w:szCs w:val="28"/>
            </w:rPr>
            <w:fldChar w:fldCharType="end"/>
          </w:r>
        </w:p>
        <w:p>
          <w:pPr>
            <w:pStyle w:val="40"/>
            <w:tabs>
              <w:tab w:val="right" w:leader="dot" w:pos="9070"/>
            </w:tabs>
            <w:rPr>
              <w:rFonts w:hint="eastAsia" w:ascii="华文中宋" w:hAnsi="华文中宋" w:eastAsia="华文中宋" w:cs="华文中宋"/>
              <w:sz w:val="28"/>
              <w:szCs w:val="28"/>
            </w:rPr>
          </w:pPr>
          <w:r>
            <w:rPr>
              <w:rFonts w:hint="eastAsia" w:ascii="华文中宋" w:hAnsi="华文中宋" w:eastAsia="华文中宋" w:cs="华文中宋"/>
              <w:sz w:val="28"/>
              <w:szCs w:val="28"/>
            </w:rPr>
            <w:fldChar w:fldCharType="begin"/>
          </w:r>
          <w:r>
            <w:rPr>
              <w:rFonts w:hint="eastAsia" w:ascii="华文中宋" w:hAnsi="华文中宋" w:eastAsia="华文中宋" w:cs="华文中宋"/>
              <w:sz w:val="28"/>
              <w:szCs w:val="28"/>
            </w:rPr>
            <w:instrText xml:space="preserve"> HYPERLINK \l _Toc27613 </w:instrText>
          </w:r>
          <w:r>
            <w:rPr>
              <w:rFonts w:hint="eastAsia" w:ascii="华文中宋" w:hAnsi="华文中宋" w:eastAsia="华文中宋" w:cs="华文中宋"/>
              <w:sz w:val="28"/>
              <w:szCs w:val="28"/>
            </w:rPr>
            <w:fldChar w:fldCharType="separate"/>
          </w:r>
          <w:r>
            <w:rPr>
              <w:rFonts w:hint="eastAsia" w:ascii="华文中宋" w:hAnsi="华文中宋" w:eastAsia="华文中宋" w:cs="华文中宋"/>
              <w:sz w:val="28"/>
              <w:szCs w:val="28"/>
              <w:highlight w:val="none"/>
            </w:rPr>
            <w:t>第三章  供应商须知</w:t>
          </w:r>
          <w:r>
            <w:rPr>
              <w:rFonts w:hint="eastAsia" w:ascii="华文中宋" w:hAnsi="华文中宋" w:eastAsia="华文中宋" w:cs="华文中宋"/>
              <w:sz w:val="28"/>
              <w:szCs w:val="28"/>
            </w:rPr>
            <w:tab/>
          </w:r>
          <w:r>
            <w:rPr>
              <w:rFonts w:hint="eastAsia" w:ascii="华文中宋" w:hAnsi="华文中宋" w:eastAsia="华文中宋" w:cs="华文中宋"/>
              <w:sz w:val="28"/>
              <w:szCs w:val="28"/>
            </w:rPr>
            <w:fldChar w:fldCharType="begin"/>
          </w:r>
          <w:r>
            <w:rPr>
              <w:rFonts w:hint="eastAsia" w:ascii="华文中宋" w:hAnsi="华文中宋" w:eastAsia="华文中宋" w:cs="华文中宋"/>
              <w:sz w:val="28"/>
              <w:szCs w:val="28"/>
            </w:rPr>
            <w:instrText xml:space="preserve"> PAGEREF _Toc27613 \h </w:instrText>
          </w:r>
          <w:r>
            <w:rPr>
              <w:rFonts w:hint="eastAsia" w:ascii="华文中宋" w:hAnsi="华文中宋" w:eastAsia="华文中宋" w:cs="华文中宋"/>
              <w:sz w:val="28"/>
              <w:szCs w:val="28"/>
            </w:rPr>
            <w:fldChar w:fldCharType="separate"/>
          </w:r>
          <w:r>
            <w:rPr>
              <w:rFonts w:hint="eastAsia" w:ascii="华文中宋" w:hAnsi="华文中宋" w:eastAsia="华文中宋" w:cs="华文中宋"/>
              <w:sz w:val="28"/>
              <w:szCs w:val="28"/>
            </w:rPr>
            <w:t>35</w:t>
          </w:r>
          <w:r>
            <w:rPr>
              <w:rFonts w:hint="eastAsia" w:ascii="华文中宋" w:hAnsi="华文中宋" w:eastAsia="华文中宋" w:cs="华文中宋"/>
              <w:sz w:val="28"/>
              <w:szCs w:val="28"/>
            </w:rPr>
            <w:fldChar w:fldCharType="end"/>
          </w:r>
          <w:r>
            <w:rPr>
              <w:rFonts w:hint="eastAsia" w:ascii="华文中宋" w:hAnsi="华文中宋" w:eastAsia="华文中宋" w:cs="华文中宋"/>
              <w:sz w:val="28"/>
              <w:szCs w:val="28"/>
            </w:rPr>
            <w:fldChar w:fldCharType="end"/>
          </w:r>
        </w:p>
        <w:p>
          <w:pPr>
            <w:pStyle w:val="40"/>
            <w:tabs>
              <w:tab w:val="right" w:leader="dot" w:pos="9070"/>
            </w:tabs>
            <w:rPr>
              <w:rFonts w:hint="eastAsia" w:ascii="华文中宋" w:hAnsi="华文中宋" w:eastAsia="华文中宋" w:cs="华文中宋"/>
              <w:sz w:val="28"/>
              <w:szCs w:val="28"/>
            </w:rPr>
          </w:pPr>
          <w:r>
            <w:rPr>
              <w:rFonts w:hint="eastAsia" w:ascii="华文中宋" w:hAnsi="华文中宋" w:eastAsia="华文中宋" w:cs="华文中宋"/>
              <w:sz w:val="28"/>
              <w:szCs w:val="28"/>
            </w:rPr>
            <w:fldChar w:fldCharType="begin"/>
          </w:r>
          <w:r>
            <w:rPr>
              <w:rFonts w:hint="eastAsia" w:ascii="华文中宋" w:hAnsi="华文中宋" w:eastAsia="华文中宋" w:cs="华文中宋"/>
              <w:sz w:val="28"/>
              <w:szCs w:val="28"/>
            </w:rPr>
            <w:instrText xml:space="preserve"> HYPERLINK \l _Toc9119 </w:instrText>
          </w:r>
          <w:r>
            <w:rPr>
              <w:rFonts w:hint="eastAsia" w:ascii="华文中宋" w:hAnsi="华文中宋" w:eastAsia="华文中宋" w:cs="华文中宋"/>
              <w:sz w:val="28"/>
              <w:szCs w:val="28"/>
            </w:rPr>
            <w:fldChar w:fldCharType="separate"/>
          </w:r>
          <w:r>
            <w:rPr>
              <w:rFonts w:hint="eastAsia" w:ascii="华文中宋" w:hAnsi="华文中宋" w:eastAsia="华文中宋" w:cs="华文中宋"/>
              <w:sz w:val="28"/>
              <w:szCs w:val="28"/>
              <w:highlight w:val="none"/>
            </w:rPr>
            <w:t xml:space="preserve">第四章 </w:t>
          </w:r>
          <w:r>
            <w:rPr>
              <w:rFonts w:hint="eastAsia" w:ascii="华文中宋" w:hAnsi="华文中宋" w:eastAsia="华文中宋" w:cs="华文中宋"/>
              <w:sz w:val="28"/>
              <w:szCs w:val="28"/>
              <w:highlight w:val="none"/>
              <w:lang w:val="en-US" w:eastAsia="zh-CN"/>
            </w:rPr>
            <w:t xml:space="preserve"> </w:t>
          </w:r>
          <w:r>
            <w:rPr>
              <w:rFonts w:hint="eastAsia" w:ascii="华文中宋" w:hAnsi="华文中宋" w:eastAsia="华文中宋" w:cs="华文中宋"/>
              <w:sz w:val="28"/>
              <w:szCs w:val="28"/>
              <w:highlight w:val="none"/>
            </w:rPr>
            <w:t>评定成交的标准</w:t>
          </w:r>
          <w:r>
            <w:rPr>
              <w:rFonts w:hint="eastAsia" w:ascii="华文中宋" w:hAnsi="华文中宋" w:eastAsia="华文中宋" w:cs="华文中宋"/>
              <w:sz w:val="28"/>
              <w:szCs w:val="28"/>
            </w:rPr>
            <w:tab/>
          </w:r>
          <w:r>
            <w:rPr>
              <w:rFonts w:hint="eastAsia" w:ascii="华文中宋" w:hAnsi="华文中宋" w:eastAsia="华文中宋" w:cs="华文中宋"/>
              <w:sz w:val="28"/>
              <w:szCs w:val="28"/>
            </w:rPr>
            <w:fldChar w:fldCharType="begin"/>
          </w:r>
          <w:r>
            <w:rPr>
              <w:rFonts w:hint="eastAsia" w:ascii="华文中宋" w:hAnsi="华文中宋" w:eastAsia="华文中宋" w:cs="华文中宋"/>
              <w:sz w:val="28"/>
              <w:szCs w:val="28"/>
            </w:rPr>
            <w:instrText xml:space="preserve"> PAGEREF _Toc9119 \h </w:instrText>
          </w:r>
          <w:r>
            <w:rPr>
              <w:rFonts w:hint="eastAsia" w:ascii="华文中宋" w:hAnsi="华文中宋" w:eastAsia="华文中宋" w:cs="华文中宋"/>
              <w:sz w:val="28"/>
              <w:szCs w:val="28"/>
            </w:rPr>
            <w:fldChar w:fldCharType="separate"/>
          </w:r>
          <w:r>
            <w:rPr>
              <w:rFonts w:hint="eastAsia" w:ascii="华文中宋" w:hAnsi="华文中宋" w:eastAsia="华文中宋" w:cs="华文中宋"/>
              <w:sz w:val="28"/>
              <w:szCs w:val="28"/>
            </w:rPr>
            <w:t>43</w:t>
          </w:r>
          <w:r>
            <w:rPr>
              <w:rFonts w:hint="eastAsia" w:ascii="华文中宋" w:hAnsi="华文中宋" w:eastAsia="华文中宋" w:cs="华文中宋"/>
              <w:sz w:val="28"/>
              <w:szCs w:val="28"/>
            </w:rPr>
            <w:fldChar w:fldCharType="end"/>
          </w:r>
          <w:r>
            <w:rPr>
              <w:rFonts w:hint="eastAsia" w:ascii="华文中宋" w:hAnsi="华文中宋" w:eastAsia="华文中宋" w:cs="华文中宋"/>
              <w:sz w:val="28"/>
              <w:szCs w:val="28"/>
            </w:rPr>
            <w:fldChar w:fldCharType="end"/>
          </w:r>
        </w:p>
        <w:p>
          <w:pPr>
            <w:pStyle w:val="40"/>
            <w:tabs>
              <w:tab w:val="right" w:leader="dot" w:pos="9070"/>
            </w:tabs>
            <w:rPr>
              <w:rFonts w:hint="eastAsia" w:ascii="华文中宋" w:hAnsi="华文中宋" w:eastAsia="华文中宋" w:cs="华文中宋"/>
              <w:sz w:val="28"/>
              <w:szCs w:val="28"/>
            </w:rPr>
          </w:pPr>
          <w:r>
            <w:rPr>
              <w:rFonts w:hint="eastAsia" w:ascii="华文中宋" w:hAnsi="华文中宋" w:eastAsia="华文中宋" w:cs="华文中宋"/>
              <w:sz w:val="28"/>
              <w:szCs w:val="28"/>
            </w:rPr>
            <w:fldChar w:fldCharType="begin"/>
          </w:r>
          <w:r>
            <w:rPr>
              <w:rFonts w:hint="eastAsia" w:ascii="华文中宋" w:hAnsi="华文中宋" w:eastAsia="华文中宋" w:cs="华文中宋"/>
              <w:sz w:val="28"/>
              <w:szCs w:val="28"/>
            </w:rPr>
            <w:instrText xml:space="preserve"> HYPERLINK \l _Toc14011 </w:instrText>
          </w:r>
          <w:r>
            <w:rPr>
              <w:rFonts w:hint="eastAsia" w:ascii="华文中宋" w:hAnsi="华文中宋" w:eastAsia="华文中宋" w:cs="华文中宋"/>
              <w:sz w:val="28"/>
              <w:szCs w:val="28"/>
            </w:rPr>
            <w:fldChar w:fldCharType="separate"/>
          </w:r>
          <w:r>
            <w:rPr>
              <w:rFonts w:hint="eastAsia" w:ascii="华文中宋" w:hAnsi="华文中宋" w:eastAsia="华文中宋" w:cs="华文中宋"/>
              <w:bCs/>
              <w:sz w:val="28"/>
              <w:szCs w:val="28"/>
              <w:highlight w:val="none"/>
            </w:rPr>
            <w:t>第五章  合同格式</w:t>
          </w:r>
          <w:r>
            <w:rPr>
              <w:rFonts w:hint="eastAsia" w:ascii="华文中宋" w:hAnsi="华文中宋" w:eastAsia="华文中宋" w:cs="华文中宋"/>
              <w:sz w:val="28"/>
              <w:szCs w:val="28"/>
            </w:rPr>
            <w:tab/>
          </w:r>
          <w:r>
            <w:rPr>
              <w:rFonts w:hint="eastAsia" w:ascii="华文中宋" w:hAnsi="华文中宋" w:eastAsia="华文中宋" w:cs="华文中宋"/>
              <w:sz w:val="28"/>
              <w:szCs w:val="28"/>
            </w:rPr>
            <w:fldChar w:fldCharType="begin"/>
          </w:r>
          <w:r>
            <w:rPr>
              <w:rFonts w:hint="eastAsia" w:ascii="华文中宋" w:hAnsi="华文中宋" w:eastAsia="华文中宋" w:cs="华文中宋"/>
              <w:sz w:val="28"/>
              <w:szCs w:val="28"/>
            </w:rPr>
            <w:instrText xml:space="preserve"> PAGEREF _Toc14011 \h </w:instrText>
          </w:r>
          <w:r>
            <w:rPr>
              <w:rFonts w:hint="eastAsia" w:ascii="华文中宋" w:hAnsi="华文中宋" w:eastAsia="华文中宋" w:cs="华文中宋"/>
              <w:sz w:val="28"/>
              <w:szCs w:val="28"/>
            </w:rPr>
            <w:fldChar w:fldCharType="separate"/>
          </w:r>
          <w:r>
            <w:rPr>
              <w:rFonts w:hint="eastAsia" w:ascii="华文中宋" w:hAnsi="华文中宋" w:eastAsia="华文中宋" w:cs="华文中宋"/>
              <w:sz w:val="28"/>
              <w:szCs w:val="28"/>
            </w:rPr>
            <w:t>47</w:t>
          </w:r>
          <w:r>
            <w:rPr>
              <w:rFonts w:hint="eastAsia" w:ascii="华文中宋" w:hAnsi="华文中宋" w:eastAsia="华文中宋" w:cs="华文中宋"/>
              <w:sz w:val="28"/>
              <w:szCs w:val="28"/>
            </w:rPr>
            <w:fldChar w:fldCharType="end"/>
          </w:r>
          <w:r>
            <w:rPr>
              <w:rFonts w:hint="eastAsia" w:ascii="华文中宋" w:hAnsi="华文中宋" w:eastAsia="华文中宋" w:cs="华文中宋"/>
              <w:sz w:val="28"/>
              <w:szCs w:val="28"/>
            </w:rPr>
            <w:fldChar w:fldCharType="end"/>
          </w:r>
        </w:p>
        <w:p>
          <w:pPr>
            <w:pStyle w:val="40"/>
            <w:tabs>
              <w:tab w:val="right" w:leader="dot" w:pos="9070"/>
            </w:tabs>
            <w:rPr>
              <w:rFonts w:hint="eastAsia" w:ascii="华文中宋" w:hAnsi="华文中宋" w:eastAsia="华文中宋" w:cs="华文中宋"/>
              <w:sz w:val="28"/>
              <w:szCs w:val="28"/>
              <w:lang w:eastAsia="zh-CN"/>
            </w:rPr>
          </w:pPr>
          <w:r>
            <w:rPr>
              <w:rFonts w:hint="eastAsia" w:ascii="华文中宋" w:hAnsi="华文中宋" w:eastAsia="华文中宋" w:cs="华文中宋"/>
              <w:sz w:val="28"/>
              <w:szCs w:val="28"/>
            </w:rPr>
            <w:fldChar w:fldCharType="begin"/>
          </w:r>
          <w:r>
            <w:rPr>
              <w:rFonts w:hint="eastAsia" w:ascii="华文中宋" w:hAnsi="华文中宋" w:eastAsia="华文中宋" w:cs="华文中宋"/>
              <w:sz w:val="28"/>
              <w:szCs w:val="28"/>
            </w:rPr>
            <w:instrText xml:space="preserve"> HYPERLINK \l _Toc6061 </w:instrText>
          </w:r>
          <w:r>
            <w:rPr>
              <w:rFonts w:hint="eastAsia" w:ascii="华文中宋" w:hAnsi="华文中宋" w:eastAsia="华文中宋" w:cs="华文中宋"/>
              <w:sz w:val="28"/>
              <w:szCs w:val="28"/>
            </w:rPr>
            <w:fldChar w:fldCharType="separate"/>
          </w:r>
          <w:r>
            <w:rPr>
              <w:rFonts w:hint="eastAsia" w:ascii="华文中宋" w:hAnsi="华文中宋" w:eastAsia="华文中宋" w:cs="华文中宋"/>
              <w:sz w:val="28"/>
              <w:szCs w:val="28"/>
              <w:highlight w:val="none"/>
            </w:rPr>
            <w:t xml:space="preserve">第六章 </w:t>
          </w:r>
          <w:r>
            <w:rPr>
              <w:rFonts w:hint="eastAsia" w:ascii="华文中宋" w:hAnsi="华文中宋" w:eastAsia="华文中宋" w:cs="华文中宋"/>
              <w:sz w:val="28"/>
              <w:szCs w:val="28"/>
              <w:highlight w:val="none"/>
              <w:lang w:val="en-US" w:eastAsia="zh-CN"/>
            </w:rPr>
            <w:t xml:space="preserve"> </w:t>
          </w:r>
          <w:r>
            <w:rPr>
              <w:rFonts w:hint="eastAsia" w:ascii="华文中宋" w:hAnsi="华文中宋" w:eastAsia="华文中宋" w:cs="华文中宋"/>
              <w:sz w:val="28"/>
              <w:szCs w:val="28"/>
              <w:highlight w:val="none"/>
            </w:rPr>
            <w:t>竞标响应文件格式</w:t>
          </w:r>
          <w:r>
            <w:rPr>
              <w:rFonts w:hint="eastAsia" w:ascii="华文中宋" w:hAnsi="华文中宋" w:eastAsia="华文中宋" w:cs="华文中宋"/>
              <w:sz w:val="28"/>
              <w:szCs w:val="28"/>
            </w:rPr>
            <w:tab/>
          </w:r>
          <w:r>
            <w:rPr>
              <w:rFonts w:hint="eastAsia" w:ascii="华文中宋" w:hAnsi="华文中宋" w:eastAsia="华文中宋" w:cs="华文中宋"/>
              <w:sz w:val="28"/>
              <w:szCs w:val="28"/>
            </w:rPr>
            <w:fldChar w:fldCharType="begin"/>
          </w:r>
          <w:r>
            <w:rPr>
              <w:rFonts w:hint="eastAsia" w:ascii="华文中宋" w:hAnsi="华文中宋" w:eastAsia="华文中宋" w:cs="华文中宋"/>
              <w:sz w:val="28"/>
              <w:szCs w:val="28"/>
            </w:rPr>
            <w:instrText xml:space="preserve"> PAGEREF _Toc6061 \h </w:instrText>
          </w:r>
          <w:r>
            <w:rPr>
              <w:rFonts w:hint="eastAsia" w:ascii="华文中宋" w:hAnsi="华文中宋" w:eastAsia="华文中宋" w:cs="华文中宋"/>
              <w:sz w:val="28"/>
              <w:szCs w:val="28"/>
            </w:rPr>
            <w:fldChar w:fldCharType="separate"/>
          </w:r>
          <w:r>
            <w:rPr>
              <w:rFonts w:hint="eastAsia" w:ascii="华文中宋" w:hAnsi="华文中宋" w:eastAsia="华文中宋" w:cs="华文中宋"/>
              <w:sz w:val="28"/>
              <w:szCs w:val="28"/>
            </w:rPr>
            <w:t>75</w:t>
          </w:r>
          <w:r>
            <w:rPr>
              <w:rFonts w:hint="eastAsia" w:ascii="华文中宋" w:hAnsi="华文中宋" w:eastAsia="华文中宋" w:cs="华文中宋"/>
              <w:sz w:val="28"/>
              <w:szCs w:val="28"/>
            </w:rPr>
            <w:fldChar w:fldCharType="end"/>
          </w:r>
          <w:r>
            <w:rPr>
              <w:rFonts w:hint="eastAsia" w:ascii="华文中宋" w:hAnsi="华文中宋" w:eastAsia="华文中宋" w:cs="华文中宋"/>
              <w:sz w:val="28"/>
              <w:szCs w:val="28"/>
            </w:rPr>
            <w:fldChar w:fldCharType="end"/>
          </w:r>
        </w:p>
        <w:p>
          <w:pPr>
            <w:rPr>
              <w:rFonts w:hint="eastAsia"/>
            </w:rPr>
          </w:pPr>
          <w:r>
            <w:rPr>
              <w:rFonts w:hint="eastAsia"/>
            </w:rPr>
            <w:fldChar w:fldCharType="end"/>
          </w:r>
        </w:p>
      </w:sdtContent>
    </w:sdt>
    <w:p>
      <w:pPr>
        <w:rPr>
          <w:color w:val="auto"/>
          <w:highlight w:val="none"/>
        </w:rPr>
      </w:pPr>
    </w:p>
    <w:p>
      <w:pPr>
        <w:tabs>
          <w:tab w:val="left" w:pos="632"/>
        </w:tabs>
        <w:rPr>
          <w:b/>
          <w:bCs/>
          <w:color w:val="auto"/>
          <w:sz w:val="36"/>
          <w:szCs w:val="36"/>
          <w:highlight w:val="none"/>
        </w:rPr>
      </w:pPr>
      <w:r>
        <w:rPr>
          <w:color w:val="auto"/>
          <w:sz w:val="36"/>
          <w:szCs w:val="36"/>
          <w:highlight w:val="none"/>
        </w:rPr>
        <w:fldChar w:fldCharType="end"/>
      </w:r>
    </w:p>
    <w:p>
      <w:pPr>
        <w:tabs>
          <w:tab w:val="left" w:pos="632"/>
        </w:tabs>
        <w:jc w:val="center"/>
        <w:rPr>
          <w:b/>
          <w:bCs/>
          <w:color w:val="auto"/>
          <w:sz w:val="36"/>
          <w:szCs w:val="36"/>
          <w:highlight w:val="none"/>
        </w:rPr>
      </w:pPr>
    </w:p>
    <w:p>
      <w:pPr>
        <w:tabs>
          <w:tab w:val="left" w:pos="632"/>
        </w:tabs>
        <w:jc w:val="center"/>
        <w:rPr>
          <w:b/>
          <w:bCs/>
          <w:color w:val="auto"/>
          <w:sz w:val="36"/>
          <w:szCs w:val="36"/>
          <w:highlight w:val="none"/>
        </w:rPr>
      </w:pPr>
    </w:p>
    <w:p>
      <w:pPr>
        <w:tabs>
          <w:tab w:val="left" w:pos="632"/>
        </w:tabs>
        <w:jc w:val="center"/>
        <w:rPr>
          <w:b/>
          <w:bCs/>
          <w:color w:val="auto"/>
          <w:sz w:val="36"/>
          <w:szCs w:val="36"/>
          <w:highlight w:val="none"/>
        </w:rPr>
      </w:pPr>
    </w:p>
    <w:p>
      <w:pPr>
        <w:tabs>
          <w:tab w:val="left" w:pos="632"/>
        </w:tabs>
        <w:jc w:val="center"/>
        <w:rPr>
          <w:b/>
          <w:bCs/>
          <w:color w:val="auto"/>
          <w:sz w:val="36"/>
          <w:szCs w:val="36"/>
          <w:highlight w:val="none"/>
        </w:rPr>
      </w:pPr>
    </w:p>
    <w:p>
      <w:pPr>
        <w:tabs>
          <w:tab w:val="left" w:pos="632"/>
        </w:tabs>
        <w:jc w:val="left"/>
        <w:rPr>
          <w:b/>
          <w:bCs/>
          <w:color w:val="auto"/>
          <w:sz w:val="36"/>
          <w:szCs w:val="36"/>
          <w:highlight w:val="none"/>
        </w:rPr>
      </w:pPr>
    </w:p>
    <w:p>
      <w:pPr>
        <w:spacing w:line="400" w:lineRule="exact"/>
        <w:jc w:val="left"/>
        <w:rPr>
          <w:b/>
          <w:color w:val="auto"/>
          <w:sz w:val="32"/>
          <w:szCs w:val="32"/>
          <w:highlight w:val="none"/>
        </w:rPr>
        <w:sectPr>
          <w:headerReference r:id="rId9" w:type="default"/>
          <w:footerReference r:id="rId10" w:type="default"/>
          <w:pgSz w:w="11906" w:h="16838"/>
          <w:pgMar w:top="1418" w:right="1418" w:bottom="1418" w:left="1418" w:header="851" w:footer="992" w:gutter="0"/>
          <w:pgNumType w:start="1"/>
          <w:cols w:space="720" w:num="1"/>
          <w:docGrid w:type="lines" w:linePitch="312" w:charSpace="0"/>
        </w:sectPr>
      </w:pPr>
    </w:p>
    <w:p>
      <w:pPr>
        <w:tabs>
          <w:tab w:val="left" w:pos="632"/>
        </w:tabs>
        <w:jc w:val="center"/>
        <w:outlineLvl w:val="0"/>
        <w:rPr>
          <w:rFonts w:hint="eastAsia" w:eastAsia="华文中宋"/>
          <w:color w:val="auto"/>
          <w:sz w:val="32"/>
          <w:szCs w:val="32"/>
          <w:highlight w:val="none"/>
        </w:rPr>
      </w:pPr>
      <w:bookmarkStart w:id="5" w:name="_Toc3917"/>
      <w:bookmarkStart w:id="6" w:name="_Toc19809"/>
      <w:r>
        <w:rPr>
          <w:rFonts w:hint="eastAsia" w:eastAsia="华文中宋"/>
          <w:color w:val="auto"/>
          <w:sz w:val="32"/>
          <w:szCs w:val="32"/>
          <w:highlight w:val="none"/>
        </w:rPr>
        <w:t>第一章</w:t>
      </w:r>
      <w:r>
        <w:rPr>
          <w:rFonts w:eastAsia="华文中宋"/>
          <w:color w:val="auto"/>
          <w:sz w:val="32"/>
          <w:szCs w:val="32"/>
          <w:highlight w:val="none"/>
        </w:rPr>
        <w:t xml:space="preserve">  </w:t>
      </w:r>
      <w:bookmarkEnd w:id="5"/>
      <w:r>
        <w:rPr>
          <w:rFonts w:hint="eastAsia" w:eastAsia="华文中宋"/>
          <w:color w:val="auto"/>
          <w:sz w:val="32"/>
          <w:szCs w:val="32"/>
          <w:highlight w:val="none"/>
        </w:rPr>
        <w:t>竞争性磋商公告</w:t>
      </w:r>
      <w:bookmarkEnd w:id="6"/>
    </w:p>
    <w:p>
      <w:pPr>
        <w:tabs>
          <w:tab w:val="left" w:pos="632"/>
        </w:tabs>
        <w:spacing w:line="560" w:lineRule="exact"/>
        <w:ind w:firstLine="560" w:firstLineChars="200"/>
        <w:jc w:val="left"/>
        <w:rPr>
          <w:rFonts w:hint="eastAsia" w:ascii="仿宋_GB2312" w:hAnsi="仿宋_GB2312" w:eastAsia="仿宋_GB2312" w:cs="仿宋_GB2312"/>
          <w:bCs/>
          <w:color w:val="auto"/>
          <w:sz w:val="28"/>
          <w:szCs w:val="28"/>
          <w:highlight w:val="none"/>
        </w:rPr>
      </w:pPr>
    </w:p>
    <w:p>
      <w:pPr>
        <w:keepNext w:val="0"/>
        <w:keepLines w:val="0"/>
        <w:pageBreakBefore w:val="0"/>
        <w:widowControl w:val="0"/>
        <w:shd w:val="clear"/>
        <w:tabs>
          <w:tab w:val="left" w:pos="632"/>
        </w:tabs>
        <w:kinsoku/>
        <w:wordWrap/>
        <w:overflowPunct/>
        <w:topLinePunct w:val="0"/>
        <w:autoSpaceDE/>
        <w:autoSpaceDN/>
        <w:bidi w:val="0"/>
        <w:adjustRightInd/>
        <w:snapToGrid w:val="0"/>
        <w:spacing w:line="600" w:lineRule="exact"/>
        <w:ind w:firstLine="560" w:firstLineChars="200"/>
        <w:jc w:val="left"/>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广西会展时空信息科技有限公司针对客服热线系统服务项目采用竞争性磋商方式进行采购，</w:t>
      </w:r>
      <w:r>
        <w:rPr>
          <w:rFonts w:hint="default" w:ascii="Times New Roman" w:hAnsi="Times New Roman" w:eastAsia="仿宋_GB2312" w:cs="Times New Roman"/>
          <w:bCs/>
          <w:sz w:val="28"/>
          <w:szCs w:val="28"/>
        </w:rPr>
        <w:t>欢迎符合条件的供应商前来竞标</w:t>
      </w:r>
      <w:r>
        <w:rPr>
          <w:rFonts w:hint="default" w:ascii="Times New Roman" w:hAnsi="Times New Roman" w:eastAsia="仿宋_GB2312" w:cs="Times New Roman"/>
          <w:bCs/>
          <w:sz w:val="28"/>
          <w:szCs w:val="28"/>
          <w:lang w:eastAsia="zh-CN"/>
        </w:rPr>
        <w:t>。</w:t>
      </w:r>
      <w:r>
        <w:rPr>
          <w:rFonts w:hint="eastAsia" w:ascii="仿宋_GB2312" w:hAnsi="仿宋_GB2312" w:eastAsia="仿宋_GB2312" w:cs="仿宋_GB2312"/>
          <w:bCs/>
          <w:color w:val="auto"/>
          <w:sz w:val="28"/>
          <w:szCs w:val="28"/>
          <w:highlight w:val="none"/>
        </w:rPr>
        <w:t>现将有关事项公告如下：</w:t>
      </w:r>
    </w:p>
    <w:p>
      <w:pPr>
        <w:keepNext w:val="0"/>
        <w:keepLines w:val="0"/>
        <w:pageBreakBefore w:val="0"/>
        <w:widowControl w:val="0"/>
        <w:numPr>
          <w:ilvl w:val="0"/>
          <w:numId w:val="1"/>
        </w:numPr>
        <w:shd w:val="clear"/>
        <w:tabs>
          <w:tab w:val="left" w:pos="632"/>
        </w:tabs>
        <w:kinsoku/>
        <w:wordWrap/>
        <w:overflowPunct/>
        <w:topLinePunct w:val="0"/>
        <w:autoSpaceDE/>
        <w:autoSpaceDN/>
        <w:bidi w:val="0"/>
        <w:adjustRightInd/>
        <w:snapToGrid w:val="0"/>
        <w:spacing w:line="600" w:lineRule="exact"/>
        <w:ind w:firstLine="562" w:firstLineChars="200"/>
        <w:jc w:val="left"/>
        <w:textAlignment w:val="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采购项目名称、编号：</w:t>
      </w:r>
    </w:p>
    <w:p>
      <w:pPr>
        <w:keepNext w:val="0"/>
        <w:keepLines w:val="0"/>
        <w:pageBreakBefore w:val="0"/>
        <w:widowControl w:val="0"/>
        <w:numPr>
          <w:ilvl w:val="-1"/>
          <w:numId w:val="0"/>
        </w:numPr>
        <w:shd w:val="clear"/>
        <w:tabs>
          <w:tab w:val="left" w:pos="632"/>
        </w:tabs>
        <w:kinsoku/>
        <w:wordWrap/>
        <w:overflowPunct/>
        <w:topLinePunct w:val="0"/>
        <w:autoSpaceDE/>
        <w:autoSpaceDN/>
        <w:bidi w:val="0"/>
        <w:adjustRightInd/>
        <w:snapToGrid w:val="0"/>
        <w:spacing w:line="600" w:lineRule="exact"/>
        <w:ind w:firstLine="560" w:firstLineChars="200"/>
        <w:jc w:val="left"/>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lang w:eastAsia="zh-CN"/>
        </w:rPr>
        <w:t>项目名称：</w:t>
      </w:r>
      <w:r>
        <w:rPr>
          <w:rFonts w:hint="eastAsia" w:ascii="仿宋_GB2312" w:hAnsi="仿宋_GB2312" w:eastAsia="仿宋_GB2312" w:cs="仿宋_GB2312"/>
          <w:bCs/>
          <w:color w:val="auto"/>
          <w:sz w:val="28"/>
          <w:szCs w:val="28"/>
          <w:highlight w:val="none"/>
        </w:rPr>
        <w:t>呼叫中心系统采购服务项目</w:t>
      </w:r>
    </w:p>
    <w:p>
      <w:pPr>
        <w:tabs>
          <w:tab w:val="left" w:pos="632"/>
        </w:tabs>
        <w:snapToGrid w:val="0"/>
        <w:spacing w:line="600" w:lineRule="exact"/>
        <w:ind w:firstLine="560"/>
        <w:jc w:val="left"/>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eastAsia="zh-CN"/>
        </w:rPr>
        <w:t>项目编号：</w:t>
      </w:r>
      <w:r>
        <w:rPr>
          <w:rFonts w:hint="eastAsia" w:ascii="仿宋_GB2312" w:hAnsi="仿宋_GB2312" w:eastAsia="仿宋_GB2312" w:cs="仿宋_GB2312"/>
          <w:bCs/>
          <w:color w:val="auto"/>
          <w:sz w:val="28"/>
          <w:szCs w:val="28"/>
          <w:highlight w:val="none"/>
          <w:lang w:val="en-US" w:eastAsia="zh-CN"/>
        </w:rPr>
        <w:t>HZSK甲2023001</w:t>
      </w:r>
    </w:p>
    <w:p>
      <w:pPr>
        <w:keepNext w:val="0"/>
        <w:keepLines w:val="0"/>
        <w:pageBreakBefore w:val="0"/>
        <w:widowControl w:val="0"/>
        <w:shd w:val="clear"/>
        <w:tabs>
          <w:tab w:val="left" w:pos="632"/>
        </w:tabs>
        <w:kinsoku/>
        <w:wordWrap/>
        <w:overflowPunct/>
        <w:topLinePunct w:val="0"/>
        <w:autoSpaceDE/>
        <w:autoSpaceDN/>
        <w:bidi w:val="0"/>
        <w:adjustRightInd/>
        <w:snapToGrid w:val="0"/>
        <w:spacing w:line="600" w:lineRule="exact"/>
        <w:ind w:firstLine="562" w:firstLineChars="200"/>
        <w:jc w:val="left"/>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color w:val="auto"/>
          <w:sz w:val="28"/>
          <w:szCs w:val="28"/>
          <w:highlight w:val="none"/>
        </w:rPr>
        <w:t>二、采购组织类型：</w:t>
      </w:r>
      <w:r>
        <w:rPr>
          <w:rFonts w:hint="eastAsia" w:ascii="仿宋_GB2312" w:hAnsi="仿宋_GB2312" w:eastAsia="仿宋_GB2312" w:cs="仿宋_GB2312"/>
          <w:bCs/>
          <w:i w:val="0"/>
          <w:iCs w:val="0"/>
          <w:caps w:val="0"/>
          <w:color w:val="auto"/>
          <w:spacing w:val="0"/>
          <w:sz w:val="28"/>
          <w:szCs w:val="28"/>
          <w:highlight w:val="none"/>
          <w:shd w:val="clear"/>
        </w:rPr>
        <w:t>企业自行采购</w:t>
      </w:r>
    </w:p>
    <w:p>
      <w:pPr>
        <w:keepNext w:val="0"/>
        <w:keepLines w:val="0"/>
        <w:pageBreakBefore w:val="0"/>
        <w:widowControl w:val="0"/>
        <w:shd w:val="clear"/>
        <w:tabs>
          <w:tab w:val="left" w:pos="632"/>
        </w:tabs>
        <w:kinsoku/>
        <w:wordWrap/>
        <w:overflowPunct/>
        <w:topLinePunct w:val="0"/>
        <w:autoSpaceDE/>
        <w:autoSpaceDN/>
        <w:bidi w:val="0"/>
        <w:adjustRightInd/>
        <w:snapToGrid w:val="0"/>
        <w:spacing w:line="600" w:lineRule="exact"/>
        <w:ind w:firstLine="562" w:firstLineChars="200"/>
        <w:jc w:val="left"/>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color w:val="auto"/>
          <w:sz w:val="28"/>
          <w:szCs w:val="28"/>
          <w:highlight w:val="none"/>
        </w:rPr>
        <w:t>三、采购内容</w:t>
      </w:r>
    </w:p>
    <w:p>
      <w:pPr>
        <w:keepNext w:val="0"/>
        <w:keepLines w:val="0"/>
        <w:pageBreakBefore w:val="0"/>
        <w:widowControl w:val="0"/>
        <w:shd w:val="clear"/>
        <w:tabs>
          <w:tab w:val="left" w:pos="632"/>
        </w:tabs>
        <w:kinsoku/>
        <w:wordWrap/>
        <w:overflowPunct/>
        <w:topLinePunct w:val="0"/>
        <w:autoSpaceDE/>
        <w:autoSpaceDN/>
        <w:bidi w:val="0"/>
        <w:adjustRightInd/>
        <w:snapToGrid w:val="0"/>
        <w:spacing w:line="600" w:lineRule="exact"/>
        <w:ind w:firstLine="560" w:firstLineChars="200"/>
        <w:jc w:val="left"/>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呼叫系统及客服人员服务；具体内容详见竞争性磋商文件。</w:t>
      </w:r>
    </w:p>
    <w:p>
      <w:pPr>
        <w:keepNext w:val="0"/>
        <w:keepLines w:val="0"/>
        <w:pageBreakBefore w:val="0"/>
        <w:widowControl w:val="0"/>
        <w:shd w:val="clear"/>
        <w:tabs>
          <w:tab w:val="left" w:pos="632"/>
        </w:tabs>
        <w:kinsoku/>
        <w:wordWrap/>
        <w:overflowPunct/>
        <w:topLinePunct w:val="0"/>
        <w:autoSpaceDE/>
        <w:autoSpaceDN/>
        <w:bidi w:val="0"/>
        <w:adjustRightInd/>
        <w:snapToGrid w:val="0"/>
        <w:spacing w:line="600" w:lineRule="exact"/>
        <w:ind w:firstLine="562" w:firstLineChars="200"/>
        <w:jc w:val="left"/>
        <w:textAlignment w:val="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四、项目预算</w:t>
      </w:r>
    </w:p>
    <w:p>
      <w:pPr>
        <w:keepNext w:val="0"/>
        <w:keepLines w:val="0"/>
        <w:pageBreakBefore w:val="0"/>
        <w:widowControl w:val="0"/>
        <w:shd w:val="clear"/>
        <w:tabs>
          <w:tab w:val="left" w:pos="632"/>
        </w:tabs>
        <w:kinsoku/>
        <w:wordWrap/>
        <w:overflowPunct/>
        <w:topLinePunct w:val="0"/>
        <w:autoSpaceDE/>
        <w:autoSpaceDN/>
        <w:bidi w:val="0"/>
        <w:adjustRightInd/>
        <w:snapToGrid w:val="0"/>
        <w:spacing w:line="600" w:lineRule="exact"/>
        <w:ind w:firstLine="560" w:firstLineChars="200"/>
        <w:jc w:val="left"/>
        <w:textAlignment w:val="auto"/>
        <w:rPr>
          <w:rFonts w:hint="eastAsia" w:ascii="仿宋_GB2312" w:hAnsi="仿宋_GB2312" w:eastAsia="仿宋_GB2312" w:cs="仿宋_GB2312"/>
          <w:b/>
          <w:i/>
          <w:iCs/>
          <w:color w:val="auto"/>
          <w:sz w:val="28"/>
          <w:szCs w:val="28"/>
          <w:highlight w:val="none"/>
        </w:rPr>
      </w:pPr>
      <w:r>
        <w:rPr>
          <w:rFonts w:hint="eastAsia" w:ascii="仿宋_GB2312" w:hAnsi="仿宋_GB2312" w:eastAsia="仿宋_GB2312" w:cs="仿宋_GB2312"/>
          <w:bCs/>
          <w:color w:val="auto"/>
          <w:sz w:val="28"/>
          <w:szCs w:val="28"/>
          <w:highlight w:val="none"/>
        </w:rPr>
        <w:t>人民币贰拾捌万元</w:t>
      </w:r>
      <w:r>
        <w:rPr>
          <w:rFonts w:hint="default" w:ascii="仿宋_GB2312" w:hAnsi="仿宋_GB2312" w:eastAsia="仿宋_GB2312" w:cs="仿宋_GB2312"/>
          <w:bCs/>
          <w:color w:val="auto"/>
          <w:sz w:val="28"/>
          <w:szCs w:val="28"/>
          <w:highlight w:val="none"/>
        </w:rPr>
        <w:t>整</w:t>
      </w:r>
      <w:r>
        <w:rPr>
          <w:rFonts w:hint="eastAsia" w:ascii="仿宋_GB2312" w:hAnsi="仿宋_GB2312" w:eastAsia="仿宋_GB2312" w:cs="仿宋_GB2312"/>
          <w:bCs/>
          <w:color w:val="auto"/>
          <w:sz w:val="28"/>
          <w:szCs w:val="28"/>
          <w:highlight w:val="none"/>
        </w:rPr>
        <w:t>（¥</w:t>
      </w:r>
      <w:r>
        <w:rPr>
          <w:rFonts w:hint="eastAsia" w:ascii="仿宋_GB2312" w:hAnsi="仿宋_GB2312" w:eastAsia="仿宋_GB2312" w:cs="仿宋_GB2312"/>
          <w:bCs/>
          <w:color w:val="auto"/>
          <w:sz w:val="28"/>
          <w:szCs w:val="28"/>
          <w:highlight w:val="none"/>
          <w:lang w:val="en-US" w:eastAsia="zh-CN"/>
        </w:rPr>
        <w:t>280</w:t>
      </w:r>
      <w:r>
        <w:rPr>
          <w:rFonts w:hint="eastAsia" w:ascii="仿宋_GB2312" w:hAnsi="仿宋_GB2312" w:eastAsia="仿宋_GB2312" w:cs="仿宋_GB2312"/>
          <w:bCs/>
          <w:color w:val="auto"/>
          <w:sz w:val="28"/>
          <w:szCs w:val="28"/>
          <w:highlight w:val="none"/>
        </w:rPr>
        <w:t>,000.00）。</w:t>
      </w:r>
    </w:p>
    <w:p>
      <w:pPr>
        <w:keepNext w:val="0"/>
        <w:keepLines w:val="0"/>
        <w:pageBreakBefore w:val="0"/>
        <w:widowControl w:val="0"/>
        <w:shd w:val="clear"/>
        <w:tabs>
          <w:tab w:val="left" w:pos="632"/>
        </w:tabs>
        <w:kinsoku/>
        <w:wordWrap/>
        <w:overflowPunct/>
        <w:topLinePunct w:val="0"/>
        <w:autoSpaceDE/>
        <w:autoSpaceDN/>
        <w:bidi w:val="0"/>
        <w:adjustRightInd/>
        <w:snapToGrid w:val="0"/>
        <w:spacing w:line="600" w:lineRule="exact"/>
        <w:ind w:firstLine="562" w:firstLineChars="200"/>
        <w:jc w:val="left"/>
        <w:textAlignment w:val="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五、供应商资格</w:t>
      </w:r>
    </w:p>
    <w:p>
      <w:pPr>
        <w:keepNext w:val="0"/>
        <w:keepLines w:val="0"/>
        <w:pageBreakBefore w:val="0"/>
        <w:widowControl w:val="0"/>
        <w:shd w:val="clear"/>
        <w:tabs>
          <w:tab w:val="left" w:pos="632"/>
        </w:tabs>
        <w:kinsoku/>
        <w:wordWrap/>
        <w:overflowPunct/>
        <w:topLinePunct w:val="0"/>
        <w:autoSpaceDE/>
        <w:autoSpaceDN/>
        <w:bidi w:val="0"/>
        <w:adjustRightInd/>
        <w:snapToGrid w:val="0"/>
        <w:spacing w:line="600" w:lineRule="exact"/>
        <w:ind w:firstLine="560" w:firstLineChars="200"/>
        <w:jc w:val="left"/>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（一）国内注册（指按国家有关规定要求注册的），提供本次竞争性磋商采购服务，具备法人资格的供应商或其下属分支机构。</w:t>
      </w:r>
    </w:p>
    <w:p>
      <w:pPr>
        <w:keepNext w:val="0"/>
        <w:keepLines w:val="0"/>
        <w:pageBreakBefore w:val="0"/>
        <w:widowControl w:val="0"/>
        <w:shd w:val="clear"/>
        <w:tabs>
          <w:tab w:val="left" w:pos="632"/>
        </w:tabs>
        <w:kinsoku/>
        <w:wordWrap/>
        <w:overflowPunct/>
        <w:topLinePunct w:val="0"/>
        <w:autoSpaceDE/>
        <w:autoSpaceDN/>
        <w:bidi w:val="0"/>
        <w:adjustRightInd/>
        <w:snapToGrid w:val="0"/>
        <w:spacing w:line="600" w:lineRule="exact"/>
        <w:ind w:firstLine="560" w:firstLineChars="200"/>
        <w:jc w:val="left"/>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（二）诚实守信，近三年内无违法及不良诚信记录。</w:t>
      </w:r>
    </w:p>
    <w:p>
      <w:pPr>
        <w:keepNext w:val="0"/>
        <w:keepLines w:val="0"/>
        <w:pageBreakBefore w:val="0"/>
        <w:widowControl w:val="0"/>
        <w:shd w:val="clear"/>
        <w:tabs>
          <w:tab w:val="left" w:pos="632"/>
        </w:tabs>
        <w:kinsoku/>
        <w:wordWrap/>
        <w:overflowPunct/>
        <w:topLinePunct w:val="0"/>
        <w:autoSpaceDE/>
        <w:autoSpaceDN/>
        <w:bidi w:val="0"/>
        <w:adjustRightInd/>
        <w:snapToGrid w:val="0"/>
        <w:spacing w:line="600" w:lineRule="exact"/>
        <w:ind w:firstLine="560" w:firstLineChars="200"/>
        <w:jc w:val="left"/>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三）对在“信用中国”网站(www.creditchina.gov.cn)、中国政府采购网(www.ccgp.gov.cn)等渠道列入失信被执行人、重大税收违法案件当事人名单、政府采购严重违法失信行为记录名单的供应商，不得参与本次招标采购活动。</w:t>
      </w:r>
    </w:p>
    <w:p>
      <w:pPr>
        <w:keepNext w:val="0"/>
        <w:keepLines w:val="0"/>
        <w:pageBreakBefore w:val="0"/>
        <w:widowControl w:val="0"/>
        <w:shd w:val="clear"/>
        <w:tabs>
          <w:tab w:val="left" w:pos="632"/>
        </w:tabs>
        <w:kinsoku/>
        <w:wordWrap/>
        <w:overflowPunct/>
        <w:topLinePunct w:val="0"/>
        <w:autoSpaceDE/>
        <w:autoSpaceDN/>
        <w:bidi w:val="0"/>
        <w:adjustRightInd/>
        <w:snapToGrid w:val="0"/>
        <w:spacing w:line="600" w:lineRule="exact"/>
        <w:ind w:firstLine="560" w:firstLineChars="200"/>
        <w:jc w:val="left"/>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（四）单位负责人为同一人或者存在直接控股、管理关系的不同投标人，不得参加同一合同项下的采购活动。</w:t>
      </w:r>
    </w:p>
    <w:p>
      <w:pPr>
        <w:keepNext w:val="0"/>
        <w:keepLines w:val="0"/>
        <w:pageBreakBefore w:val="0"/>
        <w:widowControl w:val="0"/>
        <w:shd w:val="clear"/>
        <w:tabs>
          <w:tab w:val="left" w:pos="632"/>
        </w:tabs>
        <w:kinsoku/>
        <w:wordWrap/>
        <w:overflowPunct/>
        <w:topLinePunct w:val="0"/>
        <w:autoSpaceDE/>
        <w:autoSpaceDN/>
        <w:bidi w:val="0"/>
        <w:adjustRightInd/>
        <w:snapToGrid w:val="0"/>
        <w:spacing w:line="600" w:lineRule="exact"/>
        <w:ind w:firstLine="560" w:firstLineChars="200"/>
        <w:jc w:val="left"/>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（五）本项目不接受联合体竞标。</w:t>
      </w:r>
    </w:p>
    <w:p>
      <w:pPr>
        <w:keepNext w:val="0"/>
        <w:keepLines w:val="0"/>
        <w:pageBreakBefore w:val="0"/>
        <w:widowControl w:val="0"/>
        <w:shd w:val="clear"/>
        <w:tabs>
          <w:tab w:val="left" w:pos="632"/>
        </w:tabs>
        <w:kinsoku/>
        <w:wordWrap/>
        <w:overflowPunct/>
        <w:topLinePunct w:val="0"/>
        <w:autoSpaceDE/>
        <w:autoSpaceDN/>
        <w:bidi w:val="0"/>
        <w:adjustRightInd/>
        <w:snapToGrid w:val="0"/>
        <w:spacing w:line="600" w:lineRule="exact"/>
        <w:ind w:firstLine="562" w:firstLineChars="200"/>
        <w:jc w:val="left"/>
        <w:textAlignment w:val="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六、竞标保证金：</w:t>
      </w:r>
      <w:r>
        <w:rPr>
          <w:rFonts w:hint="eastAsia" w:ascii="仿宋_GB2312" w:hAnsi="仿宋_GB2312" w:eastAsia="仿宋_GB2312" w:cs="仿宋_GB2312"/>
          <w:bCs/>
          <w:color w:val="auto"/>
          <w:sz w:val="28"/>
          <w:szCs w:val="28"/>
          <w:highlight w:val="none"/>
        </w:rPr>
        <w:t>无。</w:t>
      </w:r>
    </w:p>
    <w:p>
      <w:pPr>
        <w:keepNext w:val="0"/>
        <w:keepLines w:val="0"/>
        <w:pageBreakBefore w:val="0"/>
        <w:widowControl w:val="0"/>
        <w:shd w:val="clear"/>
        <w:tabs>
          <w:tab w:val="left" w:pos="632"/>
        </w:tabs>
        <w:kinsoku/>
        <w:wordWrap/>
        <w:overflowPunct/>
        <w:topLinePunct w:val="0"/>
        <w:autoSpaceDE/>
        <w:autoSpaceDN/>
        <w:bidi w:val="0"/>
        <w:adjustRightInd/>
        <w:snapToGrid w:val="0"/>
        <w:spacing w:line="600" w:lineRule="exact"/>
        <w:ind w:firstLine="562" w:firstLineChars="200"/>
        <w:jc w:val="left"/>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color w:val="auto"/>
          <w:sz w:val="28"/>
          <w:szCs w:val="28"/>
          <w:highlight w:val="none"/>
        </w:rPr>
        <w:t>七、竞争性磋商文件的获取</w:t>
      </w:r>
    </w:p>
    <w:p>
      <w:pPr>
        <w:keepNext w:val="0"/>
        <w:keepLines w:val="0"/>
        <w:pageBreakBefore w:val="0"/>
        <w:widowControl w:val="0"/>
        <w:shd w:val="clear"/>
        <w:tabs>
          <w:tab w:val="left" w:pos="632"/>
        </w:tabs>
        <w:kinsoku/>
        <w:wordWrap/>
        <w:overflowPunct/>
        <w:topLinePunct w:val="0"/>
        <w:autoSpaceDE/>
        <w:autoSpaceDN/>
        <w:bidi w:val="0"/>
        <w:adjustRightInd/>
        <w:snapToGrid w:val="0"/>
        <w:spacing w:line="600" w:lineRule="exact"/>
        <w:ind w:firstLine="560" w:firstLineChars="200"/>
        <w:jc w:val="left"/>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lang w:eastAsia="zh-CN"/>
        </w:rPr>
        <w:t>（一）</w:t>
      </w:r>
      <w:r>
        <w:rPr>
          <w:rFonts w:hint="eastAsia" w:ascii="仿宋_GB2312" w:hAnsi="仿宋_GB2312" w:eastAsia="仿宋_GB2312" w:cs="仿宋_GB2312"/>
          <w:bCs/>
          <w:color w:val="auto"/>
          <w:sz w:val="28"/>
          <w:szCs w:val="28"/>
          <w:highlight w:val="none"/>
        </w:rPr>
        <w:t>获取竞争性磋商文件时间：2023年3月2</w:t>
      </w:r>
      <w:r>
        <w:rPr>
          <w:rFonts w:hint="eastAsia" w:ascii="仿宋_GB2312" w:hAnsi="仿宋_GB2312" w:eastAsia="仿宋_GB2312" w:cs="仿宋_GB2312"/>
          <w:bCs/>
          <w:color w:val="auto"/>
          <w:sz w:val="28"/>
          <w:szCs w:val="28"/>
          <w:highlight w:val="none"/>
          <w:lang w:val="en-US" w:eastAsia="zh-CN"/>
        </w:rPr>
        <w:t>7</w:t>
      </w:r>
      <w:r>
        <w:rPr>
          <w:rFonts w:hint="eastAsia" w:ascii="仿宋_GB2312" w:hAnsi="仿宋_GB2312" w:eastAsia="仿宋_GB2312" w:cs="仿宋_GB2312"/>
          <w:bCs/>
          <w:color w:val="auto"/>
          <w:sz w:val="28"/>
          <w:szCs w:val="28"/>
          <w:highlight w:val="none"/>
        </w:rPr>
        <w:t>日08时00分至2023年3月</w:t>
      </w:r>
      <w:r>
        <w:rPr>
          <w:rFonts w:hint="eastAsia" w:ascii="仿宋_GB2312" w:hAnsi="仿宋_GB2312" w:eastAsia="仿宋_GB2312" w:cs="仿宋_GB2312"/>
          <w:bCs/>
          <w:color w:val="auto"/>
          <w:sz w:val="28"/>
          <w:szCs w:val="28"/>
          <w:highlight w:val="none"/>
          <w:lang w:val="en-US" w:eastAsia="zh-CN"/>
        </w:rPr>
        <w:t>29</w:t>
      </w:r>
      <w:r>
        <w:rPr>
          <w:rFonts w:hint="eastAsia" w:ascii="仿宋_GB2312" w:hAnsi="仿宋_GB2312" w:eastAsia="仿宋_GB2312" w:cs="仿宋_GB2312"/>
          <w:bCs/>
          <w:color w:val="auto"/>
          <w:sz w:val="28"/>
          <w:szCs w:val="28"/>
          <w:highlight w:val="none"/>
        </w:rPr>
        <w:t>日18时00分</w:t>
      </w:r>
    </w:p>
    <w:p>
      <w:pPr>
        <w:keepNext w:val="0"/>
        <w:keepLines w:val="0"/>
        <w:pageBreakBefore w:val="0"/>
        <w:widowControl w:val="0"/>
        <w:shd w:val="clear"/>
        <w:tabs>
          <w:tab w:val="left" w:pos="632"/>
        </w:tabs>
        <w:kinsoku/>
        <w:wordWrap/>
        <w:overflowPunct/>
        <w:topLinePunct w:val="0"/>
        <w:autoSpaceDE/>
        <w:autoSpaceDN/>
        <w:bidi w:val="0"/>
        <w:adjustRightInd/>
        <w:snapToGrid w:val="0"/>
        <w:spacing w:line="600" w:lineRule="exact"/>
        <w:ind w:firstLine="560" w:firstLineChars="200"/>
        <w:jc w:val="left"/>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eastAsia="zh-CN"/>
        </w:rPr>
        <w:t>（二）</w:t>
      </w:r>
      <w:r>
        <w:rPr>
          <w:rFonts w:hint="eastAsia" w:ascii="仿宋_GB2312" w:hAnsi="仿宋_GB2312" w:eastAsia="仿宋_GB2312" w:cs="仿宋_GB2312"/>
          <w:bCs/>
          <w:color w:val="auto"/>
          <w:sz w:val="28"/>
          <w:szCs w:val="28"/>
          <w:highlight w:val="none"/>
        </w:rPr>
        <w:t>获取竞争性磋商文件地点：</w:t>
      </w:r>
      <w:r>
        <w:rPr>
          <w:rFonts w:hint="eastAsia" w:ascii="仿宋_GB2312" w:hAnsi="仿宋_GB2312" w:eastAsia="仿宋_GB2312" w:cs="仿宋_GB2312"/>
          <w:bCs/>
          <w:i w:val="0"/>
          <w:iCs w:val="0"/>
          <w:caps w:val="0"/>
          <w:color w:val="auto"/>
          <w:spacing w:val="0"/>
          <w:sz w:val="28"/>
          <w:szCs w:val="28"/>
          <w:highlight w:val="none"/>
          <w:shd w:val="clear"/>
        </w:rPr>
        <w:t>广西会展时空信息科技有限公司</w:t>
      </w:r>
      <w:r>
        <w:rPr>
          <w:rFonts w:hint="eastAsia" w:ascii="仿宋_GB2312" w:hAnsi="仿宋_GB2312" w:eastAsia="仿宋_GB2312" w:cs="仿宋_GB2312"/>
          <w:bCs/>
          <w:color w:val="auto"/>
          <w:sz w:val="28"/>
          <w:szCs w:val="28"/>
          <w:highlight w:val="none"/>
        </w:rPr>
        <w:t>（南宁市青秀区会展路18号会展大厦</w:t>
      </w:r>
      <w:r>
        <w:rPr>
          <w:rFonts w:hint="eastAsia" w:ascii="仿宋_GB2312" w:hAnsi="仿宋_GB2312" w:eastAsia="仿宋_GB2312" w:cs="仿宋_GB2312"/>
          <w:bCs/>
          <w:color w:val="auto"/>
          <w:sz w:val="28"/>
          <w:szCs w:val="28"/>
          <w:highlight w:val="none"/>
          <w:lang w:val="en-US" w:eastAsia="zh-CN"/>
        </w:rPr>
        <w:t>8层</w:t>
      </w:r>
      <w:r>
        <w:rPr>
          <w:rFonts w:hint="eastAsia" w:ascii="仿宋_GB2312" w:hAnsi="仿宋_GB2312" w:eastAsia="仿宋_GB2312" w:cs="仿宋_GB2312"/>
          <w:bCs/>
          <w:color w:val="auto"/>
          <w:sz w:val="28"/>
          <w:szCs w:val="28"/>
          <w:highlight w:val="none"/>
        </w:rPr>
        <w:t>）或通过电话联系获取电子采购文件。</w:t>
      </w:r>
      <w:r>
        <w:rPr>
          <w:rFonts w:hint="eastAsia" w:ascii="仿宋_GB2312" w:hAnsi="仿宋_GB2312" w:eastAsia="仿宋_GB2312" w:cs="仿宋_GB2312"/>
          <w:bCs/>
          <w:color w:val="auto"/>
          <w:sz w:val="28"/>
          <w:szCs w:val="28"/>
          <w:highlight w:val="none"/>
          <w:lang w:val="en-US" w:eastAsia="zh-CN"/>
        </w:rPr>
        <w:t xml:space="preserve">               </w:t>
      </w:r>
    </w:p>
    <w:p>
      <w:pPr>
        <w:keepNext w:val="0"/>
        <w:keepLines w:val="0"/>
        <w:pageBreakBefore w:val="0"/>
        <w:widowControl w:val="0"/>
        <w:shd w:val="clear"/>
        <w:tabs>
          <w:tab w:val="left" w:pos="632"/>
        </w:tabs>
        <w:kinsoku/>
        <w:wordWrap/>
        <w:overflowPunct/>
        <w:topLinePunct w:val="0"/>
        <w:autoSpaceDE/>
        <w:autoSpaceDN/>
        <w:bidi w:val="0"/>
        <w:adjustRightInd/>
        <w:snapToGrid w:val="0"/>
        <w:spacing w:line="600" w:lineRule="exact"/>
        <w:ind w:firstLine="560" w:firstLineChars="200"/>
        <w:jc w:val="left"/>
        <w:textAlignment w:val="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Cs/>
          <w:color w:val="auto"/>
          <w:sz w:val="28"/>
          <w:szCs w:val="28"/>
          <w:highlight w:val="none"/>
          <w:lang w:val="en-US" w:eastAsia="zh-CN"/>
        </w:rPr>
        <w:t>八、磋商响应文件递交截止时间和地点：</w:t>
      </w:r>
    </w:p>
    <w:p>
      <w:pPr>
        <w:pStyle w:val="6"/>
        <w:keepNext w:val="0"/>
        <w:keepLines w:val="0"/>
        <w:pageBreakBefore w:val="0"/>
        <w:widowControl w:val="0"/>
        <w:kinsoku/>
        <w:wordWrap/>
        <w:overflowPunct/>
        <w:topLinePunct w:val="0"/>
        <w:autoSpaceDE/>
        <w:autoSpaceDN/>
        <w:bidi w:val="0"/>
        <w:adjustRightInd/>
        <w:spacing w:line="600" w:lineRule="exact"/>
        <w:ind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i w:val="0"/>
          <w:iCs w:val="0"/>
          <w:caps w:val="0"/>
          <w:color w:val="auto"/>
          <w:spacing w:val="0"/>
          <w:sz w:val="28"/>
          <w:szCs w:val="28"/>
          <w:highlight w:val="none"/>
          <w:shd w:val="clear"/>
        </w:rPr>
        <w:t>磋商响应文件必须以密封形式于</w:t>
      </w:r>
      <w:r>
        <w:rPr>
          <w:rFonts w:hint="eastAsia" w:ascii="仿宋_GB2312" w:hAnsi="仿宋_GB2312" w:eastAsia="仿宋_GB2312" w:cs="仿宋_GB2312"/>
          <w:bCs/>
          <w:i w:val="0"/>
          <w:iCs w:val="0"/>
          <w:caps w:val="0"/>
          <w:color w:val="auto"/>
          <w:spacing w:val="0"/>
          <w:sz w:val="28"/>
          <w:szCs w:val="28"/>
          <w:highlight w:val="none"/>
          <w:u w:val="none"/>
          <w:shd w:val="clear"/>
        </w:rPr>
        <w:t>2023年3月</w:t>
      </w:r>
      <w:r>
        <w:rPr>
          <w:rFonts w:hint="eastAsia" w:ascii="仿宋_GB2312" w:hAnsi="仿宋_GB2312" w:eastAsia="仿宋_GB2312" w:cs="仿宋_GB2312"/>
          <w:bCs/>
          <w:i w:val="0"/>
          <w:iCs w:val="0"/>
          <w:caps w:val="0"/>
          <w:color w:val="auto"/>
          <w:spacing w:val="0"/>
          <w:sz w:val="28"/>
          <w:szCs w:val="28"/>
          <w:highlight w:val="none"/>
          <w:u w:val="none"/>
          <w:shd w:val="clear"/>
          <w:lang w:val="en-US" w:eastAsia="zh-CN"/>
        </w:rPr>
        <w:t>30</w:t>
      </w:r>
      <w:r>
        <w:rPr>
          <w:rFonts w:hint="eastAsia" w:ascii="仿宋_GB2312" w:hAnsi="仿宋_GB2312" w:eastAsia="仿宋_GB2312" w:cs="仿宋_GB2312"/>
          <w:bCs/>
          <w:i w:val="0"/>
          <w:iCs w:val="0"/>
          <w:caps w:val="0"/>
          <w:color w:val="auto"/>
          <w:spacing w:val="0"/>
          <w:sz w:val="28"/>
          <w:szCs w:val="28"/>
          <w:highlight w:val="none"/>
          <w:u w:val="none"/>
          <w:shd w:val="clear"/>
        </w:rPr>
        <w:t>日</w:t>
      </w:r>
      <w:r>
        <w:rPr>
          <w:rFonts w:hint="eastAsia" w:ascii="仿宋_GB2312" w:hAnsi="仿宋_GB2312" w:eastAsia="仿宋_GB2312" w:cs="仿宋_GB2312"/>
          <w:bCs/>
          <w:i w:val="0"/>
          <w:iCs w:val="0"/>
          <w:caps w:val="0"/>
          <w:color w:val="auto"/>
          <w:spacing w:val="0"/>
          <w:sz w:val="28"/>
          <w:szCs w:val="28"/>
          <w:highlight w:val="none"/>
          <w:u w:val="none"/>
          <w:shd w:val="clear"/>
          <w:lang w:val="en-US" w:eastAsia="zh-CN"/>
        </w:rPr>
        <w:t>15点</w:t>
      </w:r>
      <w:r>
        <w:rPr>
          <w:rFonts w:hint="eastAsia" w:ascii="仿宋_GB2312" w:hAnsi="仿宋_GB2312" w:eastAsia="仿宋_GB2312" w:cs="仿宋_GB2312"/>
          <w:bCs/>
          <w:i w:val="0"/>
          <w:iCs w:val="0"/>
          <w:caps w:val="0"/>
          <w:color w:val="auto"/>
          <w:spacing w:val="0"/>
          <w:sz w:val="28"/>
          <w:szCs w:val="28"/>
          <w:highlight w:val="none"/>
          <w:shd w:val="clear"/>
        </w:rPr>
        <w:t>前，递交到</w:t>
      </w:r>
      <w:r>
        <w:rPr>
          <w:rFonts w:hint="eastAsia" w:ascii="仿宋_GB2312" w:hAnsi="仿宋_GB2312" w:eastAsia="仿宋_GB2312" w:cs="仿宋_GB2312"/>
          <w:bCs/>
          <w:color w:val="auto"/>
          <w:sz w:val="28"/>
          <w:szCs w:val="28"/>
          <w:highlight w:val="none"/>
        </w:rPr>
        <w:t>南宁市青秀区会展路18号会展大厦</w:t>
      </w:r>
      <w:r>
        <w:rPr>
          <w:rFonts w:hint="eastAsia" w:ascii="仿宋_GB2312" w:hAnsi="仿宋_GB2312" w:eastAsia="仿宋_GB2312" w:cs="仿宋_GB2312"/>
          <w:bCs/>
          <w:color w:val="auto"/>
          <w:sz w:val="28"/>
          <w:szCs w:val="28"/>
          <w:highlight w:val="none"/>
          <w:lang w:val="en-US" w:eastAsia="zh-CN"/>
        </w:rPr>
        <w:t>8层（</w:t>
      </w:r>
      <w:r>
        <w:rPr>
          <w:rFonts w:hint="eastAsia" w:ascii="仿宋_GB2312" w:hAnsi="仿宋_GB2312" w:eastAsia="仿宋_GB2312" w:cs="仿宋_GB2312"/>
          <w:bCs/>
          <w:i w:val="0"/>
          <w:iCs w:val="0"/>
          <w:caps w:val="0"/>
          <w:color w:val="auto"/>
          <w:spacing w:val="0"/>
          <w:sz w:val="28"/>
          <w:szCs w:val="28"/>
          <w:highlight w:val="none"/>
          <w:shd w:val="clear"/>
        </w:rPr>
        <w:t>广西会展时空信息科技有限公司</w:t>
      </w:r>
      <w:r>
        <w:rPr>
          <w:rFonts w:hint="eastAsia" w:ascii="仿宋_GB2312" w:hAnsi="仿宋_GB2312" w:eastAsia="仿宋_GB2312" w:cs="仿宋_GB2312"/>
          <w:bCs/>
          <w:i w:val="0"/>
          <w:iCs w:val="0"/>
          <w:caps w:val="0"/>
          <w:color w:val="auto"/>
          <w:spacing w:val="0"/>
          <w:sz w:val="28"/>
          <w:szCs w:val="28"/>
          <w:highlight w:val="none"/>
          <w:shd w:val="clear"/>
          <w:lang w:eastAsia="zh-CN"/>
        </w:rPr>
        <w:t>小会议室</w:t>
      </w:r>
      <w:r>
        <w:rPr>
          <w:rFonts w:hint="eastAsia" w:ascii="仿宋_GB2312" w:hAnsi="仿宋_GB2312" w:eastAsia="仿宋_GB2312" w:cs="仿宋_GB2312"/>
          <w:bCs/>
          <w:i w:val="0"/>
          <w:iCs w:val="0"/>
          <w:caps w:val="0"/>
          <w:color w:val="auto"/>
          <w:spacing w:val="0"/>
          <w:sz w:val="28"/>
          <w:szCs w:val="28"/>
          <w:highlight w:val="none"/>
          <w:u w:val="none"/>
          <w:shd w:val="clear"/>
        </w:rPr>
        <w:t>，联系电话：0771-</w:t>
      </w:r>
      <w:r>
        <w:rPr>
          <w:rFonts w:hint="eastAsia" w:ascii="仿宋_GB2312" w:hAnsi="仿宋_GB2312" w:eastAsia="仿宋_GB2312" w:cs="仿宋_GB2312"/>
          <w:bCs/>
          <w:i w:val="0"/>
          <w:iCs w:val="0"/>
          <w:caps w:val="0"/>
          <w:color w:val="auto"/>
          <w:spacing w:val="0"/>
          <w:sz w:val="28"/>
          <w:szCs w:val="28"/>
          <w:highlight w:val="none"/>
          <w:u w:val="none"/>
          <w:shd w:val="clear"/>
          <w:lang w:eastAsia="zh-CN"/>
        </w:rPr>
        <w:t>8</w:t>
      </w:r>
      <w:r>
        <w:rPr>
          <w:rFonts w:hint="eastAsia" w:ascii="仿宋_GB2312" w:hAnsi="仿宋_GB2312" w:eastAsia="仿宋_GB2312" w:cs="仿宋_GB2312"/>
          <w:bCs/>
          <w:i w:val="0"/>
          <w:iCs w:val="0"/>
          <w:caps w:val="0"/>
          <w:color w:val="auto"/>
          <w:spacing w:val="0"/>
          <w:sz w:val="28"/>
          <w:szCs w:val="28"/>
          <w:highlight w:val="none"/>
          <w:u w:val="none"/>
          <w:shd w:val="clear"/>
          <w:lang w:val="en-US" w:eastAsia="zh-CN"/>
        </w:rPr>
        <w:t>028899</w:t>
      </w:r>
      <w:r>
        <w:rPr>
          <w:rFonts w:hint="eastAsia" w:ascii="仿宋_GB2312" w:hAnsi="仿宋_GB2312" w:eastAsia="仿宋_GB2312" w:cs="仿宋_GB2312"/>
          <w:bCs/>
          <w:i w:val="0"/>
          <w:iCs w:val="0"/>
          <w:caps w:val="0"/>
          <w:color w:val="auto"/>
          <w:spacing w:val="0"/>
          <w:sz w:val="28"/>
          <w:szCs w:val="28"/>
          <w:highlight w:val="none"/>
          <w:u w:val="none"/>
          <w:shd w:val="clear"/>
        </w:rPr>
        <w:t>）</w:t>
      </w:r>
      <w:r>
        <w:rPr>
          <w:rFonts w:hint="eastAsia" w:ascii="仿宋_GB2312" w:hAnsi="仿宋_GB2312" w:eastAsia="仿宋_GB2312" w:cs="仿宋_GB2312"/>
          <w:bCs/>
          <w:i w:val="0"/>
          <w:iCs w:val="0"/>
          <w:caps w:val="0"/>
          <w:color w:val="auto"/>
          <w:spacing w:val="0"/>
          <w:sz w:val="28"/>
          <w:szCs w:val="28"/>
          <w:highlight w:val="none"/>
          <w:shd w:val="clear"/>
        </w:rPr>
        <w:t>，逾期送达或未密封将予以拒收（或作无效处理）。</w:t>
      </w:r>
    </w:p>
    <w:p>
      <w:pPr>
        <w:keepNext w:val="0"/>
        <w:keepLines w:val="0"/>
        <w:pageBreakBefore w:val="0"/>
        <w:widowControl w:val="0"/>
        <w:shd w:val="clear"/>
        <w:tabs>
          <w:tab w:val="left" w:pos="632"/>
        </w:tabs>
        <w:kinsoku/>
        <w:wordWrap/>
        <w:overflowPunct/>
        <w:topLinePunct w:val="0"/>
        <w:autoSpaceDE/>
        <w:autoSpaceDN/>
        <w:bidi w:val="0"/>
        <w:adjustRightInd/>
        <w:snapToGrid w:val="0"/>
        <w:spacing w:line="600" w:lineRule="exact"/>
        <w:ind w:firstLine="562" w:firstLineChars="200"/>
        <w:jc w:val="left"/>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color w:val="auto"/>
          <w:sz w:val="28"/>
          <w:szCs w:val="28"/>
          <w:highlight w:val="none"/>
        </w:rPr>
        <w:t>九、响应文件开启时间、磋商时间及地点</w:t>
      </w:r>
    </w:p>
    <w:p>
      <w:pPr>
        <w:keepNext w:val="0"/>
        <w:keepLines w:val="0"/>
        <w:pageBreakBefore w:val="0"/>
        <w:widowControl w:val="0"/>
        <w:shd w:val="clear"/>
        <w:tabs>
          <w:tab w:val="left" w:pos="632"/>
        </w:tabs>
        <w:kinsoku/>
        <w:wordWrap/>
        <w:overflowPunct/>
        <w:topLinePunct w:val="0"/>
        <w:autoSpaceDE/>
        <w:autoSpaceDN/>
        <w:bidi w:val="0"/>
        <w:adjustRightInd/>
        <w:snapToGrid w:val="0"/>
        <w:spacing w:line="600" w:lineRule="exact"/>
        <w:ind w:firstLine="560" w:firstLineChars="200"/>
        <w:jc w:val="left"/>
        <w:textAlignment w:val="auto"/>
        <w:rPr>
          <w:rFonts w:ascii="仿宋_GB2312" w:hAnsi="仿宋_GB2312" w:eastAsia="仿宋_GB2312" w:cs="仿宋_GB2312"/>
          <w:bCs/>
          <w:i w:val="0"/>
          <w:iCs w:val="0"/>
          <w:caps w:val="0"/>
          <w:color w:val="auto"/>
          <w:spacing w:val="0"/>
          <w:sz w:val="28"/>
          <w:szCs w:val="28"/>
          <w:highlight w:val="none"/>
          <w:shd w:val="clear"/>
        </w:rPr>
      </w:pPr>
      <w:r>
        <w:rPr>
          <w:rFonts w:hint="eastAsia" w:ascii="仿宋_GB2312" w:hAnsi="仿宋_GB2312" w:eastAsia="仿宋_GB2312" w:cs="仿宋_GB2312"/>
          <w:bCs/>
          <w:color w:val="auto"/>
          <w:sz w:val="28"/>
          <w:szCs w:val="28"/>
          <w:highlight w:val="none"/>
        </w:rPr>
        <w:t>202</w:t>
      </w:r>
      <w:r>
        <w:rPr>
          <w:rFonts w:hint="eastAsia" w:ascii="仿宋_GB2312" w:hAnsi="仿宋_GB2312" w:eastAsia="仿宋_GB2312" w:cs="仿宋_GB2312"/>
          <w:bCs/>
          <w:color w:val="auto"/>
          <w:sz w:val="28"/>
          <w:szCs w:val="28"/>
          <w:highlight w:val="none"/>
          <w:lang w:val="en-US" w:eastAsia="zh-CN"/>
        </w:rPr>
        <w:t>3</w:t>
      </w:r>
      <w:r>
        <w:rPr>
          <w:rFonts w:hint="eastAsia" w:ascii="仿宋_GB2312" w:hAnsi="仿宋_GB2312" w:eastAsia="仿宋_GB2312" w:cs="仿宋_GB2312"/>
          <w:bCs/>
          <w:color w:val="auto"/>
          <w:sz w:val="28"/>
          <w:szCs w:val="28"/>
          <w:highlight w:val="none"/>
        </w:rPr>
        <w:t>年</w:t>
      </w:r>
      <w:r>
        <w:rPr>
          <w:rFonts w:hint="eastAsia" w:ascii="仿宋_GB2312" w:hAnsi="仿宋_GB2312" w:eastAsia="仿宋_GB2312" w:cs="仿宋_GB2312"/>
          <w:bCs/>
          <w:color w:val="auto"/>
          <w:sz w:val="28"/>
          <w:szCs w:val="28"/>
          <w:highlight w:val="none"/>
          <w:lang w:eastAsia="zh-CN"/>
        </w:rPr>
        <w:t>3</w:t>
      </w:r>
      <w:r>
        <w:rPr>
          <w:rFonts w:hint="eastAsia" w:ascii="仿宋_GB2312" w:hAnsi="仿宋_GB2312" w:eastAsia="仿宋_GB2312" w:cs="仿宋_GB2312"/>
          <w:bCs/>
          <w:color w:val="auto"/>
          <w:sz w:val="28"/>
          <w:szCs w:val="28"/>
          <w:highlight w:val="none"/>
        </w:rPr>
        <w:t>月</w:t>
      </w:r>
      <w:r>
        <w:rPr>
          <w:rFonts w:hint="eastAsia" w:ascii="仿宋_GB2312" w:hAnsi="仿宋_GB2312" w:eastAsia="仿宋_GB2312" w:cs="仿宋_GB2312"/>
          <w:bCs/>
          <w:color w:val="auto"/>
          <w:sz w:val="28"/>
          <w:szCs w:val="28"/>
          <w:highlight w:val="none"/>
          <w:lang w:val="en-US" w:eastAsia="zh-CN"/>
        </w:rPr>
        <w:t>30</w:t>
      </w:r>
      <w:r>
        <w:rPr>
          <w:rFonts w:hint="eastAsia" w:ascii="仿宋_GB2312" w:hAnsi="仿宋_GB2312" w:eastAsia="仿宋_GB2312" w:cs="仿宋_GB2312"/>
          <w:bCs/>
          <w:color w:val="auto"/>
          <w:sz w:val="28"/>
          <w:szCs w:val="28"/>
          <w:highlight w:val="none"/>
        </w:rPr>
        <w:t>日</w:t>
      </w:r>
      <w:r>
        <w:rPr>
          <w:rFonts w:hint="eastAsia" w:ascii="仿宋_GB2312" w:hAnsi="仿宋_GB2312" w:eastAsia="仿宋_GB2312" w:cs="仿宋_GB2312"/>
          <w:bCs/>
          <w:color w:val="auto"/>
          <w:sz w:val="28"/>
          <w:szCs w:val="28"/>
          <w:highlight w:val="none"/>
          <w:lang w:val="en-US" w:eastAsia="zh-CN"/>
        </w:rPr>
        <w:t>15</w:t>
      </w:r>
      <w:r>
        <w:rPr>
          <w:rFonts w:hint="eastAsia" w:ascii="仿宋_GB2312" w:hAnsi="仿宋_GB2312" w:eastAsia="仿宋_GB2312" w:cs="仿宋_GB2312"/>
          <w:bCs/>
          <w:color w:val="auto"/>
          <w:sz w:val="28"/>
          <w:szCs w:val="28"/>
          <w:highlight w:val="none"/>
        </w:rPr>
        <w:t>:</w:t>
      </w:r>
      <w:r>
        <w:rPr>
          <w:rFonts w:hint="eastAsia" w:ascii="仿宋_GB2312" w:hAnsi="仿宋_GB2312" w:eastAsia="仿宋_GB2312" w:cs="仿宋_GB2312"/>
          <w:bCs/>
          <w:color w:val="auto"/>
          <w:sz w:val="28"/>
          <w:szCs w:val="28"/>
          <w:highlight w:val="none"/>
          <w:lang w:val="en-US" w:eastAsia="zh-CN"/>
        </w:rPr>
        <w:t>3</w:t>
      </w:r>
      <w:r>
        <w:rPr>
          <w:rFonts w:hint="eastAsia" w:ascii="仿宋_GB2312" w:hAnsi="仿宋_GB2312" w:eastAsia="仿宋_GB2312" w:cs="仿宋_GB2312"/>
          <w:bCs/>
          <w:color w:val="auto"/>
          <w:sz w:val="28"/>
          <w:szCs w:val="28"/>
          <w:highlight w:val="none"/>
        </w:rPr>
        <w:t>0为开启响应文件及与供应商磋商时间</w:t>
      </w:r>
      <w:r>
        <w:rPr>
          <w:rFonts w:hint="default" w:ascii="仿宋_GB2312" w:hAnsi="仿宋_GB2312" w:eastAsia="仿宋_GB2312" w:cs="仿宋_GB2312"/>
          <w:bCs/>
          <w:color w:val="auto"/>
          <w:sz w:val="28"/>
          <w:szCs w:val="28"/>
          <w:highlight w:val="none"/>
        </w:rPr>
        <w:t>，具体地点由采购商另行通知。</w:t>
      </w:r>
      <w:r>
        <w:rPr>
          <w:rFonts w:ascii="仿宋_GB2312" w:hAnsi="仿宋_GB2312" w:eastAsia="仿宋_GB2312" w:cs="仿宋_GB2312"/>
          <w:bCs/>
          <w:i w:val="0"/>
          <w:iCs w:val="0"/>
          <w:caps w:val="0"/>
          <w:color w:val="auto"/>
          <w:spacing w:val="0"/>
          <w:sz w:val="28"/>
          <w:szCs w:val="28"/>
          <w:highlight w:val="none"/>
          <w:shd w:val="clear"/>
        </w:rPr>
        <w:t>参加磋商的法定代表人或委托代理人必须持证件（法定代表人凭法定代表人身份证明和身份证原件或委托代理人凭法人授权委托书原件和身份证原件）依时到达指定地点等候当面磋商。</w:t>
      </w:r>
    </w:p>
    <w:p>
      <w:pPr>
        <w:keepNext w:val="0"/>
        <w:keepLines w:val="0"/>
        <w:pageBreakBefore w:val="0"/>
        <w:widowControl w:val="0"/>
        <w:shd w:val="clear"/>
        <w:tabs>
          <w:tab w:val="left" w:pos="632"/>
        </w:tabs>
        <w:kinsoku/>
        <w:wordWrap/>
        <w:overflowPunct/>
        <w:topLinePunct w:val="0"/>
        <w:autoSpaceDE/>
        <w:autoSpaceDN/>
        <w:bidi w:val="0"/>
        <w:adjustRightInd/>
        <w:snapToGrid w:val="0"/>
        <w:spacing w:line="600" w:lineRule="exact"/>
        <w:ind w:firstLine="562" w:firstLineChars="200"/>
        <w:jc w:val="left"/>
        <w:textAlignment w:val="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十、公告期限</w:t>
      </w:r>
    </w:p>
    <w:p>
      <w:pPr>
        <w:keepNext w:val="0"/>
        <w:keepLines w:val="0"/>
        <w:pageBreakBefore w:val="0"/>
        <w:widowControl w:val="0"/>
        <w:tabs>
          <w:tab w:val="left" w:pos="632"/>
        </w:tabs>
        <w:kinsoku/>
        <w:wordWrap/>
        <w:overflowPunct/>
        <w:topLinePunct w:val="0"/>
        <w:autoSpaceDE/>
        <w:autoSpaceDN/>
        <w:bidi w:val="0"/>
        <w:adjustRightInd/>
        <w:snapToGrid w:val="0"/>
        <w:spacing w:line="600" w:lineRule="exact"/>
        <w:ind w:firstLine="560" w:firstLineChars="200"/>
        <w:jc w:val="left"/>
        <w:textAlignment w:val="auto"/>
        <w:rPr>
          <w:rFonts w:hint="eastAsia"/>
          <w:sz w:val="28"/>
          <w:szCs w:val="28"/>
        </w:rPr>
      </w:pPr>
      <w:r>
        <w:rPr>
          <w:rFonts w:hint="eastAsia" w:ascii="仿宋_GB2312" w:hAnsi="仿宋_GB2312" w:eastAsia="仿宋_GB2312" w:cs="仿宋_GB2312"/>
          <w:bCs/>
          <w:color w:val="auto"/>
          <w:sz w:val="28"/>
          <w:szCs w:val="28"/>
          <w:highlight w:val="none"/>
        </w:rPr>
        <w:t>本招标公告期限为自发布之日起3个工作日。</w:t>
      </w:r>
    </w:p>
    <w:p>
      <w:pPr>
        <w:keepNext w:val="0"/>
        <w:keepLines w:val="0"/>
        <w:pageBreakBefore w:val="0"/>
        <w:widowControl w:val="0"/>
        <w:shd w:val="clear"/>
        <w:tabs>
          <w:tab w:val="left" w:pos="632"/>
        </w:tabs>
        <w:kinsoku/>
        <w:wordWrap/>
        <w:overflowPunct/>
        <w:topLinePunct w:val="0"/>
        <w:autoSpaceDE/>
        <w:autoSpaceDN/>
        <w:bidi w:val="0"/>
        <w:adjustRightInd/>
        <w:snapToGrid w:val="0"/>
        <w:spacing w:line="600" w:lineRule="exact"/>
        <w:ind w:firstLine="562" w:firstLineChars="200"/>
        <w:jc w:val="left"/>
        <w:textAlignment w:val="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十</w:t>
      </w:r>
      <w:r>
        <w:rPr>
          <w:rFonts w:hint="eastAsia" w:ascii="仿宋_GB2312" w:hAnsi="仿宋_GB2312" w:eastAsia="仿宋_GB2312" w:cs="仿宋_GB2312"/>
          <w:b/>
          <w:color w:val="auto"/>
          <w:sz w:val="28"/>
          <w:szCs w:val="28"/>
          <w:highlight w:val="none"/>
          <w:lang w:eastAsia="zh-CN"/>
        </w:rPr>
        <w:t>一</w:t>
      </w:r>
      <w:r>
        <w:rPr>
          <w:rFonts w:hint="eastAsia" w:ascii="仿宋_GB2312" w:hAnsi="仿宋_GB2312" w:eastAsia="仿宋_GB2312" w:cs="仿宋_GB2312"/>
          <w:b/>
          <w:color w:val="auto"/>
          <w:sz w:val="28"/>
          <w:szCs w:val="28"/>
          <w:highlight w:val="none"/>
        </w:rPr>
        <w:t>、业务咨询</w:t>
      </w:r>
    </w:p>
    <w:p>
      <w:pPr>
        <w:keepNext w:val="0"/>
        <w:keepLines w:val="0"/>
        <w:pageBreakBefore w:val="0"/>
        <w:widowControl w:val="0"/>
        <w:shd w:val="clear"/>
        <w:tabs>
          <w:tab w:val="left" w:pos="632"/>
        </w:tabs>
        <w:kinsoku/>
        <w:wordWrap/>
        <w:overflowPunct/>
        <w:topLinePunct w:val="0"/>
        <w:autoSpaceDE/>
        <w:autoSpaceDN/>
        <w:bidi w:val="0"/>
        <w:adjustRightInd/>
        <w:snapToGrid w:val="0"/>
        <w:spacing w:line="600" w:lineRule="exact"/>
        <w:ind w:firstLine="560" w:firstLineChars="200"/>
        <w:jc w:val="left"/>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广西会展时空信息科技有限公司</w:t>
      </w:r>
    </w:p>
    <w:p>
      <w:pPr>
        <w:keepNext w:val="0"/>
        <w:keepLines w:val="0"/>
        <w:pageBreakBefore w:val="0"/>
        <w:widowControl w:val="0"/>
        <w:shd w:val="clear"/>
        <w:tabs>
          <w:tab w:val="left" w:pos="632"/>
        </w:tabs>
        <w:kinsoku/>
        <w:wordWrap/>
        <w:overflowPunct/>
        <w:topLinePunct w:val="0"/>
        <w:autoSpaceDE/>
        <w:autoSpaceDN/>
        <w:bidi w:val="0"/>
        <w:adjustRightInd/>
        <w:snapToGrid w:val="0"/>
        <w:spacing w:line="600" w:lineRule="exact"/>
        <w:ind w:firstLine="560" w:firstLineChars="200"/>
        <w:jc w:val="left"/>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rPr>
        <w:t>联系人：</w:t>
      </w:r>
      <w:r>
        <w:rPr>
          <w:rFonts w:hint="eastAsia" w:ascii="仿宋_GB2312" w:hAnsi="仿宋_GB2312" w:eastAsia="仿宋_GB2312" w:cs="仿宋_GB2312"/>
          <w:bCs/>
          <w:color w:val="auto"/>
          <w:sz w:val="28"/>
          <w:szCs w:val="28"/>
          <w:highlight w:val="none"/>
          <w:lang w:val="en-US" w:eastAsia="zh-CN"/>
        </w:rPr>
        <w:t>谭女士</w:t>
      </w:r>
    </w:p>
    <w:p>
      <w:pPr>
        <w:keepNext w:val="0"/>
        <w:keepLines w:val="0"/>
        <w:pageBreakBefore w:val="0"/>
        <w:widowControl w:val="0"/>
        <w:shd w:val="clear"/>
        <w:tabs>
          <w:tab w:val="left" w:pos="632"/>
        </w:tabs>
        <w:kinsoku/>
        <w:wordWrap/>
        <w:overflowPunct/>
        <w:topLinePunct w:val="0"/>
        <w:autoSpaceDE/>
        <w:autoSpaceDN/>
        <w:bidi w:val="0"/>
        <w:adjustRightInd/>
        <w:snapToGrid w:val="0"/>
        <w:spacing w:line="600" w:lineRule="exact"/>
        <w:ind w:firstLine="560" w:firstLineChars="200"/>
        <w:jc w:val="left"/>
        <w:textAlignment w:val="auto"/>
        <w:rPr>
          <w:rFonts w:hint="default"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rPr>
        <w:t>联系电话：0771-</w:t>
      </w:r>
      <w:r>
        <w:rPr>
          <w:rFonts w:hint="eastAsia" w:ascii="仿宋_GB2312" w:hAnsi="仿宋_GB2312" w:eastAsia="仿宋_GB2312" w:cs="仿宋_GB2312"/>
          <w:bCs/>
          <w:color w:val="auto"/>
          <w:sz w:val="28"/>
          <w:szCs w:val="28"/>
          <w:highlight w:val="none"/>
          <w:lang w:val="en-US" w:eastAsia="zh-CN"/>
        </w:rPr>
        <w:t>8028899</w:t>
      </w:r>
    </w:p>
    <w:p>
      <w:pPr>
        <w:keepNext w:val="0"/>
        <w:keepLines w:val="0"/>
        <w:pageBreakBefore w:val="0"/>
        <w:widowControl w:val="0"/>
        <w:shd w:val="clear"/>
        <w:tabs>
          <w:tab w:val="left" w:pos="632"/>
        </w:tabs>
        <w:kinsoku/>
        <w:wordWrap/>
        <w:overflowPunct/>
        <w:topLinePunct w:val="0"/>
        <w:autoSpaceDE/>
        <w:autoSpaceDN/>
        <w:bidi w:val="0"/>
        <w:adjustRightInd/>
        <w:snapToGrid w:val="0"/>
        <w:spacing w:line="600" w:lineRule="exact"/>
        <w:ind w:firstLine="560" w:firstLineChars="200"/>
        <w:jc w:val="left"/>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地址：广西南宁市青秀区会展路18号</w:t>
      </w:r>
      <w:r>
        <w:rPr>
          <w:rFonts w:hint="eastAsia" w:ascii="仿宋_GB2312" w:hAnsi="仿宋_GB2312" w:eastAsia="仿宋_GB2312" w:cs="仿宋_GB2312"/>
          <w:bCs/>
          <w:color w:val="auto"/>
          <w:sz w:val="28"/>
          <w:szCs w:val="28"/>
          <w:highlight w:val="none"/>
          <w:lang w:eastAsia="zh-CN"/>
        </w:rPr>
        <w:t>会展大厦</w:t>
      </w:r>
      <w:r>
        <w:rPr>
          <w:rFonts w:hint="eastAsia" w:ascii="仿宋_GB2312" w:hAnsi="仿宋_GB2312" w:eastAsia="仿宋_GB2312" w:cs="仿宋_GB2312"/>
          <w:bCs/>
          <w:color w:val="auto"/>
          <w:sz w:val="28"/>
          <w:szCs w:val="28"/>
          <w:highlight w:val="none"/>
          <w:lang w:val="en-US" w:eastAsia="zh-CN"/>
        </w:rPr>
        <w:t>8楼广西会展时空信息科技有限公司,</w:t>
      </w:r>
      <w:r>
        <w:rPr>
          <w:rFonts w:hint="eastAsia" w:ascii="仿宋_GB2312" w:hAnsi="仿宋_GB2312" w:eastAsia="仿宋_GB2312" w:cs="仿宋_GB2312"/>
          <w:bCs/>
          <w:color w:val="auto"/>
          <w:sz w:val="28"/>
          <w:szCs w:val="28"/>
          <w:highlight w:val="none"/>
        </w:rPr>
        <w:t>邮编：530021</w:t>
      </w:r>
    </w:p>
    <w:p>
      <w:pPr>
        <w:keepNext w:val="0"/>
        <w:keepLines w:val="0"/>
        <w:pageBreakBefore w:val="0"/>
        <w:widowControl w:val="0"/>
        <w:shd w:val="clear"/>
        <w:tabs>
          <w:tab w:val="left" w:pos="632"/>
        </w:tabs>
        <w:kinsoku/>
        <w:wordWrap/>
        <w:overflowPunct/>
        <w:topLinePunct w:val="0"/>
        <w:autoSpaceDE/>
        <w:autoSpaceDN/>
        <w:bidi w:val="0"/>
        <w:adjustRightInd/>
        <w:snapToGrid w:val="0"/>
        <w:spacing w:line="600" w:lineRule="exact"/>
        <w:ind w:firstLine="562" w:firstLineChars="200"/>
        <w:jc w:val="left"/>
        <w:textAlignment w:val="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十</w:t>
      </w:r>
      <w:r>
        <w:rPr>
          <w:rFonts w:hint="eastAsia" w:ascii="仿宋_GB2312" w:hAnsi="仿宋_GB2312" w:eastAsia="仿宋_GB2312" w:cs="仿宋_GB2312"/>
          <w:b/>
          <w:color w:val="auto"/>
          <w:sz w:val="28"/>
          <w:szCs w:val="28"/>
          <w:highlight w:val="none"/>
          <w:lang w:eastAsia="zh-CN"/>
        </w:rPr>
        <w:t>二</w:t>
      </w:r>
      <w:r>
        <w:rPr>
          <w:rFonts w:hint="eastAsia" w:ascii="仿宋_GB2312" w:hAnsi="仿宋_GB2312" w:eastAsia="仿宋_GB2312" w:cs="仿宋_GB2312"/>
          <w:b/>
          <w:color w:val="auto"/>
          <w:sz w:val="28"/>
          <w:szCs w:val="28"/>
          <w:highlight w:val="none"/>
        </w:rPr>
        <w:t>、监督与投诉</w:t>
      </w:r>
    </w:p>
    <w:p>
      <w:pPr>
        <w:keepNext w:val="0"/>
        <w:keepLines w:val="0"/>
        <w:pageBreakBefore w:val="0"/>
        <w:widowControl w:val="0"/>
        <w:shd w:val="clear"/>
        <w:tabs>
          <w:tab w:val="left" w:pos="632"/>
        </w:tabs>
        <w:kinsoku/>
        <w:wordWrap/>
        <w:overflowPunct/>
        <w:topLinePunct w:val="0"/>
        <w:autoSpaceDE/>
        <w:autoSpaceDN/>
        <w:bidi w:val="0"/>
        <w:adjustRightInd/>
        <w:snapToGrid w:val="0"/>
        <w:spacing w:line="600" w:lineRule="exact"/>
        <w:ind w:firstLine="560" w:firstLineChars="200"/>
        <w:jc w:val="left"/>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广西国际博览集团有限公司经营管理部</w:t>
      </w:r>
    </w:p>
    <w:p>
      <w:pPr>
        <w:keepNext w:val="0"/>
        <w:keepLines w:val="0"/>
        <w:pageBreakBefore w:val="0"/>
        <w:widowControl w:val="0"/>
        <w:shd w:val="clear"/>
        <w:tabs>
          <w:tab w:val="left" w:pos="632"/>
        </w:tabs>
        <w:kinsoku/>
        <w:wordWrap/>
        <w:overflowPunct/>
        <w:topLinePunct w:val="0"/>
        <w:autoSpaceDE/>
        <w:autoSpaceDN/>
        <w:bidi w:val="0"/>
        <w:adjustRightInd/>
        <w:snapToGrid w:val="0"/>
        <w:spacing w:line="600" w:lineRule="exact"/>
        <w:ind w:firstLine="560" w:firstLineChars="200"/>
        <w:jc w:val="left"/>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联系人：周</w:t>
      </w:r>
      <w:r>
        <w:rPr>
          <w:rFonts w:hint="eastAsia" w:ascii="仿宋_GB2312" w:hAnsi="仿宋_GB2312" w:eastAsia="仿宋_GB2312" w:cs="仿宋_GB2312"/>
          <w:bCs/>
          <w:color w:val="auto"/>
          <w:sz w:val="28"/>
          <w:szCs w:val="28"/>
          <w:highlight w:val="none"/>
          <w:lang w:val="en-US" w:eastAsia="zh-CN"/>
        </w:rPr>
        <w:t>女士</w:t>
      </w:r>
      <w:r>
        <w:rPr>
          <w:rFonts w:hint="eastAsia" w:ascii="仿宋_GB2312" w:hAnsi="仿宋_GB2312" w:eastAsia="仿宋_GB2312" w:cs="仿宋_GB2312"/>
          <w:bCs/>
          <w:color w:val="auto"/>
          <w:sz w:val="28"/>
          <w:szCs w:val="28"/>
          <w:highlight w:val="none"/>
        </w:rPr>
        <w:t>，联系电话：0771-2212640</w:t>
      </w:r>
    </w:p>
    <w:p>
      <w:pPr>
        <w:keepNext w:val="0"/>
        <w:keepLines w:val="0"/>
        <w:pageBreakBefore w:val="0"/>
        <w:widowControl w:val="0"/>
        <w:shd w:val="clear"/>
        <w:tabs>
          <w:tab w:val="left" w:pos="632"/>
        </w:tabs>
        <w:kinsoku/>
        <w:wordWrap/>
        <w:overflowPunct/>
        <w:topLinePunct w:val="0"/>
        <w:autoSpaceDE/>
        <w:autoSpaceDN/>
        <w:bidi w:val="0"/>
        <w:adjustRightInd/>
        <w:snapToGrid w:val="0"/>
        <w:spacing w:line="600" w:lineRule="exact"/>
        <w:ind w:firstLine="560" w:firstLineChars="200"/>
        <w:jc w:val="left"/>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地址：南宁市青秀区会展路18号会展大厦11楼，邮编：530000</w:t>
      </w:r>
    </w:p>
    <w:p>
      <w:pPr>
        <w:keepNext w:val="0"/>
        <w:keepLines w:val="0"/>
        <w:pageBreakBefore w:val="0"/>
        <w:widowControl w:val="0"/>
        <w:shd w:val="clear"/>
        <w:tabs>
          <w:tab w:val="left" w:pos="632"/>
        </w:tabs>
        <w:kinsoku/>
        <w:wordWrap/>
        <w:overflowPunct/>
        <w:topLinePunct w:val="0"/>
        <w:autoSpaceDE/>
        <w:autoSpaceDN/>
        <w:bidi w:val="0"/>
        <w:adjustRightInd/>
        <w:snapToGrid w:val="0"/>
        <w:spacing w:line="600" w:lineRule="exact"/>
        <w:ind w:firstLine="562" w:firstLineChars="200"/>
        <w:jc w:val="left"/>
        <w:textAlignment w:val="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十</w:t>
      </w:r>
      <w:r>
        <w:rPr>
          <w:rFonts w:hint="eastAsia" w:ascii="仿宋_GB2312" w:hAnsi="仿宋_GB2312" w:eastAsia="仿宋_GB2312" w:cs="仿宋_GB2312"/>
          <w:b/>
          <w:color w:val="auto"/>
          <w:sz w:val="28"/>
          <w:szCs w:val="28"/>
          <w:highlight w:val="none"/>
          <w:lang w:eastAsia="zh-CN"/>
        </w:rPr>
        <w:t>三</w:t>
      </w:r>
      <w:r>
        <w:rPr>
          <w:rFonts w:hint="eastAsia" w:ascii="仿宋_GB2312" w:hAnsi="仿宋_GB2312" w:eastAsia="仿宋_GB2312" w:cs="仿宋_GB2312"/>
          <w:b/>
          <w:color w:val="auto"/>
          <w:sz w:val="28"/>
          <w:szCs w:val="28"/>
          <w:highlight w:val="none"/>
        </w:rPr>
        <w:t>、网上公告媒体查询</w:t>
      </w:r>
    </w:p>
    <w:p>
      <w:pPr>
        <w:keepNext w:val="0"/>
        <w:keepLines w:val="0"/>
        <w:pageBreakBefore w:val="0"/>
        <w:widowControl w:val="0"/>
        <w:shd w:val="clear"/>
        <w:tabs>
          <w:tab w:val="left" w:pos="632"/>
        </w:tabs>
        <w:kinsoku/>
        <w:wordWrap/>
        <w:overflowPunct/>
        <w:topLinePunct w:val="0"/>
        <w:autoSpaceDE/>
        <w:autoSpaceDN/>
        <w:bidi w:val="0"/>
        <w:adjustRightInd/>
        <w:snapToGrid w:val="0"/>
        <w:spacing w:line="600" w:lineRule="exact"/>
        <w:ind w:firstLine="560" w:firstLineChars="200"/>
        <w:jc w:val="left"/>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广西国际博览集团有限公司官方网（http://www.gxexpogp.cn）</w:t>
      </w:r>
    </w:p>
    <w:p>
      <w:pPr>
        <w:keepNext w:val="0"/>
        <w:keepLines w:val="0"/>
        <w:pageBreakBefore w:val="0"/>
        <w:widowControl w:val="0"/>
        <w:shd w:val="clear"/>
        <w:tabs>
          <w:tab w:val="left" w:pos="632"/>
        </w:tabs>
        <w:kinsoku/>
        <w:wordWrap/>
        <w:overflowPunct/>
        <w:topLinePunct w:val="0"/>
        <w:autoSpaceDE/>
        <w:autoSpaceDN/>
        <w:bidi w:val="0"/>
        <w:adjustRightInd/>
        <w:snapToGrid w:val="0"/>
        <w:spacing w:line="600" w:lineRule="exact"/>
        <w:jc w:val="right"/>
        <w:textAlignment w:val="auto"/>
        <w:rPr>
          <w:rFonts w:hint="eastAsia" w:ascii="仿宋_GB2312" w:hAnsi="仿宋_GB2312" w:eastAsia="仿宋_GB2312" w:cs="仿宋_GB2312"/>
          <w:bCs/>
          <w:i/>
          <w:iCs/>
          <w:color w:val="auto"/>
          <w:sz w:val="28"/>
          <w:szCs w:val="28"/>
          <w:highlight w:val="none"/>
        </w:rPr>
      </w:pPr>
    </w:p>
    <w:p>
      <w:pPr>
        <w:keepNext w:val="0"/>
        <w:keepLines w:val="0"/>
        <w:pageBreakBefore w:val="0"/>
        <w:widowControl w:val="0"/>
        <w:shd w:val="clear"/>
        <w:tabs>
          <w:tab w:val="left" w:pos="632"/>
        </w:tabs>
        <w:kinsoku/>
        <w:wordWrap/>
        <w:overflowPunct/>
        <w:topLinePunct w:val="0"/>
        <w:autoSpaceDE/>
        <w:autoSpaceDN/>
        <w:bidi w:val="0"/>
        <w:adjustRightInd/>
        <w:snapToGrid w:val="0"/>
        <w:spacing w:line="600" w:lineRule="exact"/>
        <w:jc w:val="right"/>
        <w:textAlignment w:val="auto"/>
        <w:rPr>
          <w:rFonts w:hint="eastAsia" w:ascii="仿宋_GB2312" w:hAnsi="仿宋_GB2312" w:eastAsia="仿宋_GB2312" w:cs="仿宋_GB2312"/>
          <w:bCs/>
          <w:i/>
          <w:iCs/>
          <w:color w:val="auto"/>
          <w:sz w:val="28"/>
          <w:szCs w:val="28"/>
          <w:highlight w:val="none"/>
        </w:rPr>
      </w:pPr>
    </w:p>
    <w:p>
      <w:pPr>
        <w:keepNext w:val="0"/>
        <w:keepLines w:val="0"/>
        <w:pageBreakBefore w:val="0"/>
        <w:widowControl w:val="0"/>
        <w:shd w:val="clear"/>
        <w:tabs>
          <w:tab w:val="left" w:pos="632"/>
        </w:tabs>
        <w:kinsoku/>
        <w:wordWrap/>
        <w:overflowPunct/>
        <w:topLinePunct w:val="0"/>
        <w:autoSpaceDE/>
        <w:autoSpaceDN/>
        <w:bidi w:val="0"/>
        <w:adjustRightInd/>
        <w:snapToGrid w:val="0"/>
        <w:spacing w:line="600" w:lineRule="exact"/>
        <w:jc w:val="right"/>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广西会展时空信息科技有限公司</w:t>
      </w:r>
    </w:p>
    <w:p>
      <w:pPr>
        <w:keepNext w:val="0"/>
        <w:keepLines w:val="0"/>
        <w:pageBreakBefore w:val="0"/>
        <w:widowControl w:val="0"/>
        <w:shd w:val="clear"/>
        <w:kinsoku/>
        <w:wordWrap/>
        <w:overflowPunct/>
        <w:topLinePunct w:val="0"/>
        <w:autoSpaceDE/>
        <w:autoSpaceDN/>
        <w:bidi w:val="0"/>
        <w:adjustRightInd/>
        <w:snapToGrid w:val="0"/>
        <w:spacing w:line="600" w:lineRule="exact"/>
        <w:textAlignment w:val="auto"/>
        <w:rPr>
          <w:sz w:val="28"/>
          <w:szCs w:val="28"/>
          <w:highlight w:val="none"/>
        </w:rPr>
      </w:pPr>
      <w:r>
        <w:rPr>
          <w:rFonts w:hint="eastAsia" w:ascii="仿宋_GB2312" w:hAnsi="仿宋_GB2312" w:eastAsia="仿宋_GB2312" w:cs="仿宋_GB2312"/>
          <w:bCs/>
          <w:i/>
          <w:iCs/>
          <w:color w:val="auto"/>
          <w:sz w:val="28"/>
          <w:szCs w:val="28"/>
          <w:highlight w:val="none"/>
        </w:rPr>
        <w:t xml:space="preserve">                                  </w:t>
      </w:r>
      <w:r>
        <w:rPr>
          <w:rFonts w:hint="eastAsia" w:ascii="仿宋_GB2312" w:hAnsi="仿宋_GB2312" w:eastAsia="仿宋_GB2312" w:cs="仿宋_GB2312"/>
          <w:bCs/>
          <w:color w:val="auto"/>
          <w:sz w:val="28"/>
          <w:szCs w:val="28"/>
          <w:highlight w:val="none"/>
        </w:rPr>
        <w:t xml:space="preserve">  202</w:t>
      </w:r>
      <w:r>
        <w:rPr>
          <w:rFonts w:hint="eastAsia" w:ascii="仿宋_GB2312" w:hAnsi="仿宋_GB2312" w:eastAsia="仿宋_GB2312" w:cs="仿宋_GB2312"/>
          <w:bCs/>
          <w:color w:val="auto"/>
          <w:sz w:val="28"/>
          <w:szCs w:val="28"/>
          <w:highlight w:val="none"/>
          <w:lang w:val="en-US" w:eastAsia="zh-CN"/>
        </w:rPr>
        <w:t>3</w:t>
      </w:r>
      <w:r>
        <w:rPr>
          <w:rFonts w:hint="eastAsia" w:ascii="仿宋_GB2312" w:hAnsi="仿宋_GB2312" w:eastAsia="仿宋_GB2312" w:cs="仿宋_GB2312"/>
          <w:bCs/>
          <w:color w:val="auto"/>
          <w:sz w:val="28"/>
          <w:szCs w:val="28"/>
          <w:highlight w:val="none"/>
        </w:rPr>
        <w:t>年</w:t>
      </w:r>
      <w:r>
        <w:rPr>
          <w:rFonts w:hint="eastAsia" w:ascii="仿宋_GB2312" w:hAnsi="仿宋_GB2312" w:eastAsia="仿宋_GB2312" w:cs="仿宋_GB2312"/>
          <w:bCs/>
          <w:color w:val="auto"/>
          <w:sz w:val="28"/>
          <w:szCs w:val="28"/>
          <w:highlight w:val="none"/>
          <w:lang w:val="en-US" w:eastAsia="zh-CN"/>
        </w:rPr>
        <w:t>3</w:t>
      </w:r>
      <w:r>
        <w:rPr>
          <w:rFonts w:hint="eastAsia" w:ascii="仿宋_GB2312" w:hAnsi="仿宋_GB2312" w:eastAsia="仿宋_GB2312" w:cs="仿宋_GB2312"/>
          <w:bCs/>
          <w:color w:val="auto"/>
          <w:sz w:val="28"/>
          <w:szCs w:val="28"/>
          <w:highlight w:val="none"/>
        </w:rPr>
        <w:t>月</w:t>
      </w:r>
      <w:r>
        <w:rPr>
          <w:rFonts w:hint="eastAsia" w:ascii="仿宋_GB2312" w:hAnsi="仿宋_GB2312" w:eastAsia="仿宋_GB2312" w:cs="仿宋_GB2312"/>
          <w:bCs/>
          <w:color w:val="auto"/>
          <w:sz w:val="28"/>
          <w:szCs w:val="28"/>
          <w:highlight w:val="none"/>
          <w:lang w:val="en-US" w:eastAsia="zh-CN"/>
        </w:rPr>
        <w:t>26</w:t>
      </w:r>
      <w:r>
        <w:rPr>
          <w:rFonts w:hint="eastAsia" w:ascii="仿宋_GB2312" w:hAnsi="仿宋_GB2312" w:eastAsia="仿宋_GB2312" w:cs="仿宋_GB2312"/>
          <w:bCs/>
          <w:color w:val="auto"/>
          <w:sz w:val="28"/>
          <w:szCs w:val="28"/>
          <w:highlight w:val="none"/>
        </w:rPr>
        <w:t>日</w:t>
      </w:r>
    </w:p>
    <w:p>
      <w:pPr>
        <w:rPr>
          <w:rFonts w:hint="eastAsia"/>
          <w:color w:val="auto"/>
          <w:highlight w:val="none"/>
        </w:rPr>
      </w:pPr>
      <w:bookmarkStart w:id="7" w:name="_Toc15560"/>
      <w:bookmarkStart w:id="8" w:name="_Toc13647"/>
      <w:r>
        <w:rPr>
          <w:b/>
          <w:bCs/>
          <w:color w:val="auto"/>
          <w:sz w:val="36"/>
          <w:szCs w:val="36"/>
          <w:highlight w:val="none"/>
        </w:rPr>
        <w:br w:type="page"/>
      </w:r>
    </w:p>
    <w:p>
      <w:pPr>
        <w:tabs>
          <w:tab w:val="left" w:pos="632"/>
        </w:tabs>
        <w:jc w:val="center"/>
        <w:outlineLvl w:val="0"/>
        <w:rPr>
          <w:rFonts w:hint="eastAsia" w:eastAsia="华文中宋"/>
          <w:color w:val="auto"/>
          <w:sz w:val="32"/>
          <w:szCs w:val="32"/>
          <w:highlight w:val="none"/>
        </w:rPr>
      </w:pPr>
      <w:bookmarkStart w:id="9" w:name="_Toc31694"/>
      <w:r>
        <w:rPr>
          <w:rFonts w:hint="eastAsia" w:eastAsia="华文中宋"/>
          <w:color w:val="auto"/>
          <w:sz w:val="32"/>
          <w:szCs w:val="32"/>
          <w:highlight w:val="none"/>
        </w:rPr>
        <w:t>第二章 项目</w:t>
      </w:r>
      <w:r>
        <w:rPr>
          <w:rFonts w:eastAsia="华文中宋"/>
          <w:color w:val="auto"/>
          <w:sz w:val="32"/>
          <w:szCs w:val="32"/>
          <w:highlight w:val="none"/>
        </w:rPr>
        <w:t>服务</w:t>
      </w:r>
      <w:r>
        <w:rPr>
          <w:rFonts w:hint="eastAsia" w:eastAsia="华文中宋"/>
          <w:color w:val="auto"/>
          <w:sz w:val="32"/>
          <w:szCs w:val="32"/>
          <w:highlight w:val="none"/>
        </w:rPr>
        <w:t>要求</w:t>
      </w:r>
      <w:bookmarkEnd w:id="7"/>
      <w:bookmarkEnd w:id="9"/>
    </w:p>
    <w:p>
      <w:pPr>
        <w:pStyle w:val="14"/>
        <w:spacing w:line="600" w:lineRule="exact"/>
        <w:ind w:firstLine="0" w:firstLineChars="0"/>
        <w:rPr>
          <w:rFonts w:hint="eastAsia" w:ascii="仿宋_GB2312" w:hAnsi="仿宋_GB2312" w:eastAsia="仿宋_GB2312" w:cs="仿宋_GB2312"/>
          <w:b w:val="0"/>
          <w:caps w:val="0"/>
          <w:color w:val="auto"/>
          <w:sz w:val="28"/>
          <w:szCs w:val="28"/>
          <w:highlight w:val="none"/>
        </w:rPr>
      </w:pPr>
      <w:r>
        <w:rPr>
          <w:rFonts w:hint="eastAsia" w:ascii="仿宋_GB2312" w:hAnsi="仿宋_GB2312" w:eastAsia="仿宋_GB2312" w:cs="仿宋_GB2312"/>
          <w:b w:val="0"/>
          <w:caps w:val="0"/>
          <w:color w:val="auto"/>
          <w:sz w:val="28"/>
          <w:szCs w:val="28"/>
          <w:highlight w:val="none"/>
        </w:rPr>
        <w:t>说明：</w:t>
      </w:r>
    </w:p>
    <w:p>
      <w:pPr>
        <w:tabs>
          <w:tab w:val="left" w:pos="632"/>
        </w:tabs>
        <w:spacing w:line="600" w:lineRule="exact"/>
        <w:ind w:firstLine="570"/>
        <w:jc w:val="left"/>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1.投标人应对投标内容所涉及的专利承担法律责任，并负责保护业主的利益不受任何损害。一切由于文字、商标、技术和软件专利授权引起的法律裁决、诉讼和赔偿费用均由中标人负责。同时，具有产品专利的投标人应在其投标文件中提供与其自有产品专利相关的有效证明材料，否则，不能就其产品的专利在本项目投标过程中被侵权问题而提出异议。</w:t>
      </w:r>
    </w:p>
    <w:p>
      <w:pPr>
        <w:tabs>
          <w:tab w:val="left" w:pos="632"/>
        </w:tabs>
        <w:spacing w:line="600" w:lineRule="exact"/>
        <w:ind w:firstLine="570"/>
        <w:jc w:val="left"/>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2.投标人投标文件中提供的证明材料和资质文件应真实，如出现虚假应标情况，投标人除了应接受有关部门的处罚外，还应依据《中华人民共和国合同法》的相关条款来确定赔偿金额。</w:t>
      </w:r>
    </w:p>
    <w:p>
      <w:pPr>
        <w:tabs>
          <w:tab w:val="left" w:pos="632"/>
        </w:tabs>
        <w:spacing w:line="600" w:lineRule="exact"/>
        <w:jc w:val="center"/>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项目服务需求表</w:t>
      </w:r>
    </w:p>
    <w:tbl>
      <w:tblPr>
        <w:tblStyle w:val="17"/>
        <w:tblW w:w="89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832"/>
        <w:gridCol w:w="558"/>
        <w:gridCol w:w="525"/>
        <w:gridCol w:w="6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blHeader/>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
                <w:bCs/>
                <w:color w:val="auto"/>
                <w:sz w:val="20"/>
                <w:szCs w:val="20"/>
                <w:highlight w:val="none"/>
              </w:rPr>
            </w:pPr>
            <w:r>
              <w:rPr>
                <w:rFonts w:hint="eastAsia" w:ascii="仿宋_GB2312" w:hAnsi="仿宋_GB2312" w:eastAsia="仿宋_GB2312" w:cs="仿宋_GB2312"/>
                <w:b/>
                <w:bCs/>
                <w:color w:val="auto"/>
                <w:sz w:val="20"/>
                <w:szCs w:val="20"/>
                <w:highlight w:val="none"/>
              </w:rPr>
              <w:t>项号</w:t>
            </w:r>
          </w:p>
        </w:tc>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
                <w:bCs/>
                <w:color w:val="auto"/>
                <w:sz w:val="20"/>
                <w:szCs w:val="20"/>
                <w:highlight w:val="none"/>
              </w:rPr>
            </w:pPr>
            <w:r>
              <w:rPr>
                <w:rFonts w:hint="eastAsia" w:ascii="仿宋_GB2312" w:hAnsi="仿宋_GB2312" w:eastAsia="仿宋_GB2312" w:cs="仿宋_GB2312"/>
                <w:b/>
                <w:bCs/>
                <w:color w:val="auto"/>
                <w:sz w:val="20"/>
                <w:szCs w:val="20"/>
                <w:highlight w:val="none"/>
              </w:rPr>
              <w:t>服务名称</w:t>
            </w:r>
          </w:p>
        </w:tc>
        <w:tc>
          <w:tcPr>
            <w:tcW w:w="5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
                <w:bCs/>
                <w:color w:val="auto"/>
                <w:sz w:val="20"/>
                <w:szCs w:val="20"/>
                <w:highlight w:val="none"/>
              </w:rPr>
            </w:pPr>
            <w:r>
              <w:rPr>
                <w:rFonts w:hint="eastAsia" w:ascii="仿宋_GB2312" w:hAnsi="仿宋_GB2312" w:eastAsia="仿宋_GB2312" w:cs="仿宋_GB2312"/>
                <w:b/>
                <w:bCs/>
                <w:color w:val="auto"/>
                <w:sz w:val="20"/>
                <w:szCs w:val="20"/>
                <w:highlight w:val="none"/>
              </w:rPr>
              <w:t>数量</w:t>
            </w:r>
          </w:p>
        </w:tc>
        <w:tc>
          <w:tcPr>
            <w:tcW w:w="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
                <w:bCs/>
                <w:color w:val="auto"/>
                <w:sz w:val="20"/>
                <w:szCs w:val="20"/>
                <w:highlight w:val="none"/>
              </w:rPr>
            </w:pPr>
            <w:r>
              <w:rPr>
                <w:rFonts w:hint="eastAsia" w:ascii="仿宋_GB2312" w:hAnsi="仿宋_GB2312" w:eastAsia="仿宋_GB2312" w:cs="仿宋_GB2312"/>
                <w:b/>
                <w:bCs/>
                <w:color w:val="auto"/>
                <w:sz w:val="20"/>
                <w:szCs w:val="20"/>
                <w:highlight w:val="none"/>
              </w:rPr>
              <w:t>单位</w:t>
            </w:r>
          </w:p>
        </w:tc>
        <w:tc>
          <w:tcPr>
            <w:tcW w:w="65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
                <w:bCs/>
                <w:color w:val="auto"/>
                <w:sz w:val="20"/>
                <w:szCs w:val="20"/>
                <w:highlight w:val="none"/>
              </w:rPr>
            </w:pPr>
            <w:r>
              <w:rPr>
                <w:rFonts w:hint="eastAsia" w:ascii="仿宋_GB2312" w:hAnsi="仿宋_GB2312" w:eastAsia="仿宋_GB2312" w:cs="仿宋_GB2312"/>
                <w:b/>
                <w:bCs/>
                <w:color w:val="auto"/>
                <w:sz w:val="20"/>
                <w:szCs w:val="20"/>
                <w:highlight w:val="none"/>
              </w:rPr>
              <w:t>服务内容及要求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4" w:hRule="atLeast"/>
          <w:jc w:val="center"/>
        </w:trPr>
        <w:tc>
          <w:tcPr>
            <w:tcW w:w="534"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line="300" w:lineRule="auto"/>
              <w:ind w:left="0" w:right="0"/>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1</w:t>
            </w:r>
          </w:p>
        </w:tc>
        <w:tc>
          <w:tcPr>
            <w:tcW w:w="832"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line="300" w:lineRule="auto"/>
              <w:ind w:left="0" w:right="0"/>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bCs/>
                <w:color w:val="auto"/>
                <w:sz w:val="20"/>
                <w:szCs w:val="20"/>
                <w:highlight w:val="none"/>
              </w:rPr>
              <w:t>呼叫中心系统服务</w:t>
            </w:r>
          </w:p>
        </w:tc>
        <w:tc>
          <w:tcPr>
            <w:tcW w:w="558"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line="300" w:lineRule="auto"/>
              <w:ind w:left="0" w:right="0"/>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1</w:t>
            </w:r>
          </w:p>
        </w:tc>
        <w:tc>
          <w:tcPr>
            <w:tcW w:w="525"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line="300" w:lineRule="auto"/>
              <w:ind w:left="0" w:right="0"/>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套</w:t>
            </w:r>
          </w:p>
        </w:tc>
        <w:tc>
          <w:tcPr>
            <w:tcW w:w="650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★一、系统授权要求</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1.中标人需授权采购方</w:t>
            </w:r>
            <w:r>
              <w:rPr>
                <w:rFonts w:hint="eastAsia" w:ascii="仿宋_GB2312" w:hAnsi="仿宋_GB2312" w:eastAsia="仿宋_GB2312" w:cs="仿宋_GB2312"/>
                <w:color w:val="auto"/>
                <w:sz w:val="20"/>
                <w:szCs w:val="20"/>
                <w:highlight w:val="none"/>
                <w:lang w:val="en-US" w:eastAsia="zh-CN"/>
              </w:rPr>
              <w:t>8个全渠道</w:t>
            </w:r>
            <w:r>
              <w:rPr>
                <w:rFonts w:hint="eastAsia" w:ascii="仿宋_GB2312" w:hAnsi="仿宋_GB2312" w:eastAsia="仿宋_GB2312" w:cs="仿宋_GB2312"/>
                <w:color w:val="auto"/>
                <w:sz w:val="20"/>
                <w:szCs w:val="20"/>
                <w:highlight w:val="none"/>
              </w:rPr>
              <w:t>坐席账号</w:t>
            </w:r>
            <w:r>
              <w:rPr>
                <w:rFonts w:hint="eastAsia" w:ascii="仿宋_GB2312" w:hAnsi="仿宋_GB2312" w:eastAsia="仿宋_GB2312" w:cs="仿宋_GB2312"/>
                <w:color w:val="auto"/>
                <w:sz w:val="20"/>
                <w:szCs w:val="20"/>
                <w:highlight w:val="none"/>
                <w:lang w:eastAsia="zh-CN"/>
              </w:rPr>
              <w:t>（</w:t>
            </w:r>
            <w:r>
              <w:rPr>
                <w:rFonts w:hint="eastAsia" w:ascii="仿宋_GB2312" w:hAnsi="仿宋_GB2312" w:eastAsia="仿宋_GB2312" w:cs="仿宋_GB2312"/>
                <w:color w:val="auto"/>
                <w:sz w:val="20"/>
                <w:szCs w:val="20"/>
                <w:highlight w:val="none"/>
                <w:lang w:val="en-US" w:eastAsia="zh-CN"/>
              </w:rPr>
              <w:t>1年使用期限</w:t>
            </w:r>
            <w:r>
              <w:rPr>
                <w:rFonts w:hint="eastAsia" w:ascii="仿宋_GB2312" w:hAnsi="仿宋_GB2312" w:eastAsia="仿宋_GB2312" w:cs="仿宋_GB2312"/>
                <w:color w:val="auto"/>
                <w:sz w:val="20"/>
                <w:szCs w:val="20"/>
                <w:highlight w:val="none"/>
                <w:lang w:eastAsia="zh-CN"/>
              </w:rPr>
              <w:t>）及</w:t>
            </w:r>
            <w:r>
              <w:rPr>
                <w:rFonts w:hint="eastAsia" w:ascii="仿宋_GB2312" w:hAnsi="仿宋_GB2312" w:eastAsia="仿宋_GB2312" w:cs="仿宋_GB2312"/>
                <w:color w:val="auto"/>
                <w:sz w:val="20"/>
                <w:szCs w:val="20"/>
                <w:highlight w:val="none"/>
                <w:lang w:val="en-US" w:eastAsia="zh-CN"/>
              </w:rPr>
              <w:t>20个会期全渠道坐席账号（3个月使用期限）</w:t>
            </w:r>
            <w:r>
              <w:rPr>
                <w:rFonts w:hint="eastAsia" w:ascii="仿宋_GB2312" w:hAnsi="仿宋_GB2312" w:eastAsia="仿宋_GB2312" w:cs="仿宋_GB2312"/>
                <w:color w:val="auto"/>
                <w:sz w:val="20"/>
                <w:szCs w:val="20"/>
                <w:highlight w:val="none"/>
              </w:rPr>
              <w:t>，所提供全渠道客服</w:t>
            </w:r>
            <w:r>
              <w:rPr>
                <w:rFonts w:hint="eastAsia" w:ascii="仿宋_GB2312" w:hAnsi="仿宋_GB2312" w:eastAsia="仿宋_GB2312" w:cs="仿宋_GB2312"/>
                <w:color w:val="auto"/>
                <w:sz w:val="20"/>
                <w:szCs w:val="20"/>
                <w:highlight w:val="none"/>
                <w:lang w:eastAsia="zh-CN"/>
              </w:rPr>
              <w:t>账号包</w:t>
            </w:r>
            <w:r>
              <w:rPr>
                <w:rFonts w:hint="eastAsia" w:ascii="仿宋_GB2312" w:hAnsi="仿宋_GB2312" w:eastAsia="仿宋_GB2312" w:cs="仿宋_GB2312"/>
                <w:color w:val="auto"/>
                <w:sz w:val="20"/>
                <w:szCs w:val="20"/>
                <w:highlight w:val="none"/>
              </w:rPr>
              <w:t>含呼叫客服+在线客服+工单客服；</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2.通讯费用（含外呼话费和短信费）按实际使用量收费，按月度或季度结算；</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3.不限制甲方使用系统承接多个项目，支持接入多路号码。</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二、系统主要功能指标</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★1.IVR导航，自定义规则，来电分发有条不紊；</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2.智能路由，VIP/区域等多种，路由策略分配；</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3.来电弹屏，客户精准识别，画像数据全面呈现；</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4.呼叫Bar，支持转接、三方通话等，多种来电处理办法；</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5.任务管理，销售数据一键批量导入导出，自定义分配至坐席；</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6.联系计划，根据客户画像及历史记录，自定义客户联系计划；</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★7.质检与监控，可灵活设置质检规则，对在线客服和呼叫客服实时检控服务质量；</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8.数据统计报表，提供多维度可导出的数据统计报表（含会话、在线客服、满意度评价、工单、客服工作量、工单分类、机器人回答量、维护工作量、呼入/呼出、通话报表、坐席和通话记录等数据统计），全面掌控整体运营状况；</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★9.工单客服，可自定义客服工单字段、模板和分类，流转、定时触发器，配合工单系统，调动其他版块资源协同处理；</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10.短信，自定义触发or通发，业务辅助or主动营销，三网融达；</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★11.知识库，同一平台客服知识库，呼叫实时快捷查看；单轮/多轮知识库问答管理及机器人智能学习；自定义词库与内部知识库的管理和查询；</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12.客户中心，小型CRM系统，客户信息一体化；可按照客户列表和公司列表分类导出客户数据；</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13.支持多种渠道接入（含桌面网站、移动网站、APP、微信、微博和微信小程序等第三方平台）；</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★14.机器人，可进行智能优化策略、关键词屏蔽和机器人转人工关键词设置等；</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15.可进行在线和呼叫中心设置。</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三、技术指标要求</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★1.在线机器人客服（自带10万条机器人业务问答量）</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（1）中标单位提供在线机器人知识库搭建服务，将采购方梳理的客服问题及答案，形成系统知识库；</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（2）要求提供词条量1500以内的常规知识库，超过1500条的每增加500条新增费用不超2千元人民币；</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（3）话术场景调优；</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（4）支持第三方接口。</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★2.呼叫中心组件（含工单客服）</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（1）创建呼叫，能够进行呼叫监听、强插、强拆、支持三方通话、支持会议；</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（2）支持线路部署方式包括中继线、实体电话线、云总机号码；</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（3）支持智能路由：支持地域路由及VIP客户路由；</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xml:space="preserve"> (4) 支持定制IVR；</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（5）提供通讯能力，保证通话清晰稳定；</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（6）呼叫并发支持5000 CPS；</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（7）座席数支持20000以上。</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★3.在线客服组件（含工单客服）</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（1）提供用户咨询入口、管理整个用户咨询的过程；</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（2）收集用户咨询过程数据；</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（3）用于用户接入组件提供技术服务；</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（4）平均响应时间小于2s；</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（5）支持集群部署；</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（6）SLA:99.5%；</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（7）技术约束：java、tomcat、kafka、redis等均可。</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★4.工单组件</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（1）支持根据不同业务流程自定义工单模板、自定义字段、自定义报表；</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（2）支持自动分配流转，根据业务定制需求；</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（3）支持组合表单；</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（4）支持邮件转工单。</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5.用户中心</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（1）管理用户列表；</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（2）管理公司列表；</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（3）新建用户、筛选用户信息、新建公司、批量导入导出公司、用户信息；</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（4）平均响应时间小于2s；</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（5）支持集群部署；</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（6）SLA:99.5%。</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★6.数据报表</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（1）对数据统计结果的展示；</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（2）报表包含：会话报表、工单报表、通话报表、满意度报表、知识管理员工作量报表、访问统计报表等；</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（3）数据处理延迟小于8s。</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★7.数据统计</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（1）对业务运行产生数据做分类统计；统计内容包含：会话统计、工作量统计、访问统计、满意度统计、质检统计、热点业务问题统计、座席统计、工单统计等；</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（2）单个报表平均响应时间小于2s，最高不超过5s；</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（3）支持集群部署；</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（4）SLA:99.5%；</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（5）技术约束：scala、spark、kafka、mysql等均可。</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8.开放接口平台</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（1）要求针对智能交互功能、知识库等功能提供标准restful接口；</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（2）平均响应时间小于2s；</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（3）支持集群部署；</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（4）SLA:99.5%；</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（5）技术约束：java EE、JWT、tomcat等均可。</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★9.用户端接入组件</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（1）提供用户端接入要求：web、H5、微信（原生+H5）、微博、sdk、微信企业号、小程序；</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（2）SDK崩溃率小于0.02%；</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（3）平均响应时间小于0.5ms；</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（4）技术约束：java、object c、swift、h5、javascript、css等均可。</w:t>
            </w:r>
          </w:p>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★四、系统功能清单如下：</w:t>
            </w:r>
          </w:p>
          <w:tbl>
            <w:tblPr>
              <w:tblStyle w:val="17"/>
              <w:tblW w:w="6574" w:type="dxa"/>
              <w:tblInd w:w="-1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
              <w:gridCol w:w="1023"/>
              <w:gridCol w:w="1309"/>
              <w:gridCol w:w="1527"/>
              <w:gridCol w:w="2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6574" w:type="dxa"/>
                  <w:gridSpan w:val="5"/>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b/>
                      <w:bCs/>
                      <w:color w:val="000000"/>
                      <w:sz w:val="20"/>
                      <w:szCs w:val="20"/>
                      <w:lang w:val="en-US" w:eastAsia="zh-CN"/>
                    </w:rPr>
                    <w:t>1.呼叫中心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469" w:type="dxa"/>
                  <w:gridSpan w:val="3"/>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0"/>
                      <w:sz w:val="20"/>
                      <w:szCs w:val="20"/>
                      <w:lang w:bidi="ar"/>
                    </w:rPr>
                    <w:t>功能类别</w:t>
                  </w:r>
                </w:p>
              </w:tc>
              <w:tc>
                <w:tcPr>
                  <w:tcW w:w="152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功能点</w:t>
                  </w:r>
                </w:p>
              </w:tc>
              <w:tc>
                <w:tcPr>
                  <w:tcW w:w="257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0"/>
                      <w:sz w:val="20"/>
                      <w:szCs w:val="20"/>
                      <w:lang w:bidi="ar"/>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60" w:type="dxa"/>
                  <w:gridSpan w:val="2"/>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呼叫中心语音平台</w:t>
                  </w:r>
                </w:p>
              </w:tc>
              <w:tc>
                <w:tcPr>
                  <w:tcW w:w="130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软交换平台</w:t>
                  </w: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软交换平台</w:t>
                  </w:r>
                </w:p>
              </w:tc>
              <w:tc>
                <w:tcPr>
                  <w:tcW w:w="2578" w:type="dxa"/>
                  <w:vMerge w:val="restart"/>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本地化部署呼叫中心平台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CTI模块</w:t>
                  </w: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CTI模块</w:t>
                  </w:r>
                </w:p>
              </w:tc>
              <w:tc>
                <w:tcPr>
                  <w:tcW w:w="2578"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IVR模块</w:t>
                  </w: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IVR模块</w:t>
                  </w:r>
                </w:p>
              </w:tc>
              <w:tc>
                <w:tcPr>
                  <w:tcW w:w="2578"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录音模块</w:t>
                  </w: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录音模块</w:t>
                  </w:r>
                </w:p>
              </w:tc>
              <w:tc>
                <w:tcPr>
                  <w:tcW w:w="2578"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restar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第三方线路</w:t>
                  </w:r>
                </w:p>
              </w:tc>
              <w:tc>
                <w:tcPr>
                  <w:tcW w:w="257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租赁：无需自拉线路，直接通过号码租赁的方式使用呼叫中心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支持呼入号码绑定400号码</w:t>
                  </w:r>
                </w:p>
              </w:tc>
              <w:tc>
                <w:tcPr>
                  <w:tcW w:w="2578" w:type="dxa"/>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160" w:type="dxa"/>
                  <w:gridSpan w:val="2"/>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客服接听及登录方式</w:t>
                  </w:r>
                </w:p>
              </w:tc>
              <w:tc>
                <w:tcPr>
                  <w:tcW w:w="1309"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接听方式</w:t>
                  </w: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sip话机方式</w:t>
                  </w:r>
                </w:p>
              </w:tc>
              <w:tc>
                <w:tcPr>
                  <w:tcW w:w="257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手机方式</w:t>
                  </w:r>
                </w:p>
              </w:tc>
              <w:tc>
                <w:tcPr>
                  <w:tcW w:w="257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中继线路方案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登录方式</w:t>
                  </w: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客服账号一对一绑定模式</w:t>
                  </w:r>
                </w:p>
              </w:tc>
              <w:tc>
                <w:tcPr>
                  <w:tcW w:w="257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一个客服账号绑定一个呼叫中心VOIP分机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动态绑定模式</w:t>
                  </w:r>
                </w:p>
              </w:tc>
              <w:tc>
                <w:tcPr>
                  <w:tcW w:w="257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支持客服倒班模式，客服账号登录时动态绑定呼叫中心VOIP分机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160" w:type="dxa"/>
                  <w:gridSpan w:val="2"/>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呼叫客服工作台</w:t>
                  </w:r>
                </w:p>
              </w:tc>
              <w:tc>
                <w:tcPr>
                  <w:tcW w:w="1309"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电话工具条</w:t>
                  </w: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签入/签出</w:t>
                  </w:r>
                </w:p>
              </w:tc>
              <w:tc>
                <w:tcPr>
                  <w:tcW w:w="257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签入/签出呼叫中心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坐席状态自定义</w:t>
                  </w:r>
                </w:p>
              </w:tc>
              <w:tc>
                <w:tcPr>
                  <w:tcW w:w="257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可在后台通过自定义开关的方式添加多种状态，包括：忙碌、小休、会议、用餐、培训等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来电接听</w:t>
                  </w:r>
                </w:p>
              </w:tc>
              <w:tc>
                <w:tcPr>
                  <w:tcW w:w="257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支持来电点击接听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外呼拨号</w:t>
                  </w:r>
                </w:p>
              </w:tc>
              <w:tc>
                <w:tcPr>
                  <w:tcW w:w="257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支持输入号码或虚拟键拨打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呼叫转接</w:t>
                  </w:r>
                </w:p>
              </w:tc>
              <w:tc>
                <w:tcPr>
                  <w:tcW w:w="257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支持转接到客服，客服组，第三方号码，一个呼叫在不同坐席之间转移时，相应的呼叫数据及用户信息可同步地随呼叫转移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呼叫保持</w:t>
                  </w:r>
                </w:p>
              </w:tc>
              <w:tc>
                <w:tcPr>
                  <w:tcW w:w="257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支持呼叫保持和恢复通话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呼叫咨询</w:t>
                  </w:r>
                </w:p>
              </w:tc>
              <w:tc>
                <w:tcPr>
                  <w:tcW w:w="257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支持呼叫咨询客服/第三方号码，形成三方通话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内部呼叫</w:t>
                  </w:r>
                </w:p>
              </w:tc>
              <w:tc>
                <w:tcPr>
                  <w:tcW w:w="257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支持客服与客服之间的内部通话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来电处理</w:t>
                  </w: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来电弹屏</w:t>
                  </w:r>
                </w:p>
              </w:tc>
              <w:tc>
                <w:tcPr>
                  <w:tcW w:w="257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来电弹屏包括8个模块：标签页、客户信息、创建工单、iFrame页面嵌入、通话详情、服务总结、联系计划、历史动态（呼叫、工单、IM、机器人IM），支持弹屏开关设置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iframe方式页面对接</w:t>
                  </w:r>
                </w:p>
              </w:tc>
              <w:tc>
                <w:tcPr>
                  <w:tcW w:w="257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可以实现非常灵活的业务对接，便于坐席在接听电话的时候查看已有业务数据和同步记录到自有系统中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查看IVR按键轨迹</w:t>
                  </w:r>
                </w:p>
              </w:tc>
              <w:tc>
                <w:tcPr>
                  <w:tcW w:w="257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在呼叫来电弹屏时，可以查看客户当次的IVR按键轨迹，便于当前服务坐席更了解用户的意向动态，及时调整自己的服务话术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服务总结登记</w:t>
                  </w:r>
                </w:p>
              </w:tc>
              <w:tc>
                <w:tcPr>
                  <w:tcW w:w="257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支持为每通电话记录服务小记，服务总结支持自定义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创建联系计划</w:t>
                  </w:r>
                </w:p>
              </w:tc>
              <w:tc>
                <w:tcPr>
                  <w:tcW w:w="257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支持添加用户联系计划，根据提醒时间自动提示客服联系客户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创建工单</w:t>
                  </w:r>
                </w:p>
              </w:tc>
              <w:tc>
                <w:tcPr>
                  <w:tcW w:w="257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自动同步客户信息和来电信息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来电号码设置黑名单</w:t>
                  </w:r>
                </w:p>
              </w:tc>
              <w:tc>
                <w:tcPr>
                  <w:tcW w:w="257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具有拉黑权限的客服人员可以根据来电情况，将来电置为黑名单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我的通话</w:t>
                  </w: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我的通话概览</w:t>
                  </w:r>
                </w:p>
              </w:tc>
              <w:tc>
                <w:tcPr>
                  <w:tcW w:w="257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查看我的呼入、呼出及工作状态数据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我的通话记录</w:t>
                  </w:r>
                </w:p>
              </w:tc>
              <w:tc>
                <w:tcPr>
                  <w:tcW w:w="257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查看我的通话记录明细（包括咨询\转接记录）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我的未接来电</w:t>
                  </w:r>
                </w:p>
              </w:tc>
              <w:tc>
                <w:tcPr>
                  <w:tcW w:w="257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查看我的未接来电明细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我的联系计划</w:t>
                  </w:r>
                </w:p>
              </w:tc>
              <w:tc>
                <w:tcPr>
                  <w:tcW w:w="257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查看我创建的联系计划明细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个人信息</w:t>
                  </w: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修改个人信息</w:t>
                  </w:r>
                </w:p>
              </w:tc>
              <w:tc>
                <w:tcPr>
                  <w:tcW w:w="257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可修改姓名、手机号码；个人信息的手机号码即手机方式登录时对应的号码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查看30日呼叫状态记录</w:t>
                  </w:r>
                </w:p>
              </w:tc>
              <w:tc>
                <w:tcPr>
                  <w:tcW w:w="257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可查看30日内电话状态的变化明细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160" w:type="dxa"/>
                  <w:gridSpan w:val="2"/>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班长监控</w:t>
                  </w:r>
                </w:p>
              </w:tc>
              <w:tc>
                <w:tcPr>
                  <w:tcW w:w="1309"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话务实时监控</w:t>
                  </w: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整体话务概览</w:t>
                  </w:r>
                </w:p>
              </w:tc>
              <w:tc>
                <w:tcPr>
                  <w:tcW w:w="257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查看当前整体话务实时数据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按技能队列监控</w:t>
                  </w:r>
                </w:p>
              </w:tc>
              <w:tc>
                <w:tcPr>
                  <w:tcW w:w="257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按技能组查看当前排队及接待情况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24小时呼入/呼出数据</w:t>
                  </w:r>
                </w:p>
              </w:tc>
              <w:tc>
                <w:tcPr>
                  <w:tcW w:w="257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查看24小时呼入及呼出累计数据及呼入/呼出的趋势图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客服实时监控、管理</w:t>
                  </w: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呼叫客服监控</w:t>
                  </w:r>
                </w:p>
              </w:tc>
              <w:tc>
                <w:tcPr>
                  <w:tcW w:w="257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实时监控客服当前的状态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监听</w:t>
                  </w:r>
                </w:p>
              </w:tc>
              <w:tc>
                <w:tcPr>
                  <w:tcW w:w="257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管理员监听用户与坐席的通话，坐席无感知。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强插</w:t>
                  </w:r>
                </w:p>
              </w:tc>
              <w:tc>
                <w:tcPr>
                  <w:tcW w:w="257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在监听中使用，如管理员认为有必要介入座席与用户的通话时，可以强插到该通话中，强插后即为三方通话。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强拆</w:t>
                  </w:r>
                </w:p>
              </w:tc>
              <w:tc>
                <w:tcPr>
                  <w:tcW w:w="257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在强插后使用，管理员可以强拆某座席与用户的通话，强拆后，坐席结束通话，管理员接管与用户的通话。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强制置忙/置闲</w:t>
                  </w:r>
                </w:p>
              </w:tc>
              <w:tc>
                <w:tcPr>
                  <w:tcW w:w="257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管理员可以对客服的在线状态更改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强制签出</w:t>
                  </w:r>
                </w:p>
              </w:tc>
              <w:tc>
                <w:tcPr>
                  <w:tcW w:w="257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管理员可以将客服强制下线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160" w:type="dxa"/>
                  <w:gridSpan w:val="2"/>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呼叫配置管理</w:t>
                  </w:r>
                </w:p>
              </w:tc>
              <w:tc>
                <w:tcPr>
                  <w:tcW w:w="1309"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技能组管理</w:t>
                  </w: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呼叫技能组设置</w:t>
                  </w:r>
                </w:p>
              </w:tc>
              <w:tc>
                <w:tcPr>
                  <w:tcW w:w="2578" w:type="dxa"/>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电销技能组设置</w:t>
                  </w:r>
                </w:p>
              </w:tc>
              <w:tc>
                <w:tcPr>
                  <w:tcW w:w="2578" w:type="dxa"/>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话机账号设置</w:t>
                  </w: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客服账号一对一绑定模式</w:t>
                  </w:r>
                </w:p>
              </w:tc>
              <w:tc>
                <w:tcPr>
                  <w:tcW w:w="257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支持将客服账号绑定到一个呼叫中心VOIP分机，配置VOIP分机的客服账号，即可登录呼叫中心；支持批量配置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动态绑定模式</w:t>
                  </w:r>
                </w:p>
              </w:tc>
              <w:tc>
                <w:tcPr>
                  <w:tcW w:w="257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支持客服倒班模式，客服账号登录时输入VOIP分机进行动态绑定，可用SIP电话拨打查询分机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通话设置</w:t>
                  </w: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弹屏设置</w:t>
                  </w:r>
                </w:p>
              </w:tc>
              <w:tc>
                <w:tcPr>
                  <w:tcW w:w="257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支持设置来电及外呼的弹屏模式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录音设置</w:t>
                  </w:r>
                </w:p>
              </w:tc>
              <w:tc>
                <w:tcPr>
                  <w:tcW w:w="257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支持设置单声道混音和双声道录音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溢出设置</w:t>
                  </w: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顺振溢出</w:t>
                  </w:r>
                </w:p>
              </w:tc>
              <w:tc>
                <w:tcPr>
                  <w:tcW w:w="257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开启后，振铃超过设置时间未接听，将自动分配到客服组其他空闲客服接听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SIP话机异常溢出</w:t>
                  </w:r>
                </w:p>
              </w:tc>
              <w:tc>
                <w:tcPr>
                  <w:tcW w:w="257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开启后，当客服SIP话机出现异常(例如，设置免打扰、话机注册掉线等)，将自动分配到客服组内其他空闲客服接听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160" w:type="dxa"/>
                  <w:gridSpan w:val="2"/>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智能路由</w:t>
                  </w:r>
                </w:p>
              </w:tc>
              <w:tc>
                <w:tcPr>
                  <w:tcW w:w="1309"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基础分配</w:t>
                  </w: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优先分配给接听电话最少的客服</w:t>
                  </w:r>
                </w:p>
              </w:tc>
              <w:tc>
                <w:tcPr>
                  <w:tcW w:w="257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当客户来电时，会优先分配给当天接听量最少的坐席进行接待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优先分配给空闲时间最长的客服</w:t>
                  </w:r>
                </w:p>
              </w:tc>
              <w:tc>
                <w:tcPr>
                  <w:tcW w:w="257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当客户来电时，会优先分配给空闲时间最长的坐席进行接待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按客服轮询分配</w:t>
                  </w:r>
                </w:p>
              </w:tc>
              <w:tc>
                <w:tcPr>
                  <w:tcW w:w="257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当客户来电时，按坐席账号创建时间由先到后 , 轮流分配到空闲的坐席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智能路由</w:t>
                  </w: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按客户属性分配队列</w:t>
                  </w:r>
                </w:p>
              </w:tc>
              <w:tc>
                <w:tcPr>
                  <w:tcW w:w="2578" w:type="dxa"/>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按号码归属地分配队列</w:t>
                  </w:r>
                </w:p>
              </w:tc>
              <w:tc>
                <w:tcPr>
                  <w:tcW w:w="2578" w:type="dxa"/>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按IVR按键业务</w:t>
                  </w:r>
                </w:p>
              </w:tc>
              <w:tc>
                <w:tcPr>
                  <w:tcW w:w="257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支持按IVR转人工节点设置智能路由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黑名单策略</w:t>
                  </w: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黑名单限制转人工</w:t>
                  </w:r>
                </w:p>
              </w:tc>
              <w:tc>
                <w:tcPr>
                  <w:tcW w:w="2578" w:type="dxa"/>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指定优先分配</w:t>
                  </w: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熟客优先接待</w:t>
                  </w:r>
                </w:p>
              </w:tc>
              <w:tc>
                <w:tcPr>
                  <w:tcW w:w="257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当客户来电时，会优先分配给在30天内最后一次与该客户进行沟通的坐席进行接待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VIP客户优先排队</w:t>
                  </w:r>
                </w:p>
              </w:tc>
              <w:tc>
                <w:tcPr>
                  <w:tcW w:w="257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当VIP客户进入排队队列中，VIP客户将优先排队，支持基于客户中心或第三方接口判断VIP客户。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指定坐席接待</w:t>
                  </w:r>
                </w:p>
              </w:tc>
              <w:tc>
                <w:tcPr>
                  <w:tcW w:w="257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可预先设置指定专属坐席接待对应客户，当客户打电话进来时优先分配指定专属坐席接待；支持导入和接口两种模式。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队列溢出策略</w:t>
                  </w: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智能选择排队时间最短的队列</w:t>
                  </w:r>
                </w:p>
              </w:tc>
              <w:tc>
                <w:tcPr>
                  <w:tcW w:w="2578" w:type="dxa"/>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当前技能组中最长排队时长超过*秒时溢出</w:t>
                  </w:r>
                </w:p>
              </w:tc>
              <w:tc>
                <w:tcPr>
                  <w:tcW w:w="2578" w:type="dxa"/>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当下级技能组存在空闲坐席时溢出</w:t>
                  </w:r>
                </w:p>
              </w:tc>
              <w:tc>
                <w:tcPr>
                  <w:tcW w:w="2578" w:type="dxa"/>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160" w:type="dxa"/>
                  <w:gridSpan w:val="2"/>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IVR流程管理</w:t>
                  </w:r>
                </w:p>
              </w:tc>
              <w:tc>
                <w:tcPr>
                  <w:tcW w:w="1309"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IVR基础设置</w:t>
                  </w: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非服务时间设置</w:t>
                  </w:r>
                </w:p>
              </w:tc>
              <w:tc>
                <w:tcPr>
                  <w:tcW w:w="257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设置非服务时间播放的语音内容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客户排队策略设置</w:t>
                  </w:r>
                </w:p>
              </w:tc>
              <w:tc>
                <w:tcPr>
                  <w:tcW w:w="257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设置排队超时时长，以及重复排队次数、排队超时提示音、排队超时挂断前提示音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按键错误提示设置</w:t>
                  </w:r>
                </w:p>
              </w:tc>
              <w:tc>
                <w:tcPr>
                  <w:tcW w:w="257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设置按键错误的提示语音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满意度评价设置</w:t>
                  </w:r>
                </w:p>
              </w:tc>
              <w:tc>
                <w:tcPr>
                  <w:tcW w:w="257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可设置二级、三级及五级满意度评价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转人工播报内容设置</w:t>
                  </w:r>
                </w:p>
              </w:tc>
              <w:tc>
                <w:tcPr>
                  <w:tcW w:w="257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可设置转人工时播报工号及通话被录音提示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语音留言</w:t>
                  </w: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语音留言设置</w:t>
                  </w:r>
                </w:p>
              </w:tc>
              <w:tc>
                <w:tcPr>
                  <w:tcW w:w="257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支持在非工作时间、坐席不在线、客户排队超时设置语音留言；语音留言自动转工单。语音留言支持滴声和按*键留言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IVR流程设置</w:t>
                  </w: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支持日常IVR/特殊时间IVR配置</w:t>
                  </w:r>
                </w:p>
              </w:tc>
              <w:tc>
                <w:tcPr>
                  <w:tcW w:w="257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支持播放语音、文本语音、采集输入、按键菜单、转人工队列等多种方式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支持多套IVR配置（按服务号码）</w:t>
                  </w:r>
                </w:p>
              </w:tc>
              <w:tc>
                <w:tcPr>
                  <w:tcW w:w="257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支持按服务号码设置多套IVR，可以设置启用、停用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支持服务时间配置（支持4个时间段）</w:t>
                  </w:r>
                </w:p>
              </w:tc>
              <w:tc>
                <w:tcPr>
                  <w:tcW w:w="257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支持对每个IVR设置每天的多个服务时间段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支持5级导航</w:t>
                  </w:r>
                </w:p>
              </w:tc>
              <w:tc>
                <w:tcPr>
                  <w:tcW w:w="2578" w:type="dxa"/>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支持通过按键输入进行信息验证</w:t>
                  </w:r>
                </w:p>
              </w:tc>
              <w:tc>
                <w:tcPr>
                  <w:tcW w:w="257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支持采集按键输入，并将按键输入通过接口方式对接第三方系统进行验证，并根据验证结果播放及流转不同的IVR节点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自定义语音库</w:t>
                  </w: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基础语音库</w:t>
                  </w:r>
                </w:p>
              </w:tc>
              <w:tc>
                <w:tcPr>
                  <w:tcW w:w="257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支持上传非服务时间、留言提示、客户等待语音、按键错误提示语音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自定义IVR流程语音库</w:t>
                  </w:r>
                </w:p>
              </w:tc>
              <w:tc>
                <w:tcPr>
                  <w:tcW w:w="257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支持上传IVR流程中的各类语音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160" w:type="dxa"/>
                  <w:gridSpan w:val="2"/>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0"/>
                      <w:szCs w:val="20"/>
                      <w:lang w:eastAsia="zh-CN" w:bidi="ar"/>
                    </w:rPr>
                  </w:pPr>
                  <w:r>
                    <w:rPr>
                      <w:rFonts w:hint="eastAsia" w:ascii="仿宋_GB2312" w:hAnsi="仿宋_GB2312" w:eastAsia="仿宋_GB2312" w:cs="仿宋_GB2312"/>
                      <w:color w:val="000000"/>
                      <w:kern w:val="0"/>
                      <w:sz w:val="20"/>
                      <w:szCs w:val="20"/>
                      <w:lang w:bidi="ar"/>
                    </w:rPr>
                    <w:t>号码管理</w:t>
                  </w:r>
                </w:p>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（配置外显策略）</w:t>
                  </w:r>
                </w:p>
              </w:tc>
              <w:tc>
                <w:tcPr>
                  <w:tcW w:w="1309"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基础外显规则</w:t>
                  </w: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随机分配</w:t>
                  </w:r>
                </w:p>
              </w:tc>
              <w:tc>
                <w:tcPr>
                  <w:tcW w:w="257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已申请多个中继号码，外呼时可随机分配外显号码给客服使用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轮流分配</w:t>
                  </w:r>
                </w:p>
              </w:tc>
              <w:tc>
                <w:tcPr>
                  <w:tcW w:w="257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已申请多个中继号码，外呼时可轮流分配固定顺序的外显号码给客服使用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归属地优先分配</w:t>
                  </w:r>
                </w:p>
              </w:tc>
              <w:tc>
                <w:tcPr>
                  <w:tcW w:w="257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已申请多个中继号码，外呼时优先将与被叫号码相同归属的外显号码分配给客服使用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自定义外显规则</w:t>
                  </w: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按客服</w:t>
                  </w:r>
                </w:p>
              </w:tc>
              <w:tc>
                <w:tcPr>
                  <w:tcW w:w="257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支持按客服分配外显号码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按技能组</w:t>
                  </w:r>
                </w:p>
              </w:tc>
              <w:tc>
                <w:tcPr>
                  <w:tcW w:w="257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支持按技能组分配外显号码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按地理位置</w:t>
                  </w:r>
                </w:p>
              </w:tc>
              <w:tc>
                <w:tcPr>
                  <w:tcW w:w="257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支持按区域分配外显号码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查看号码</w:t>
                  </w: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查看号码详情</w:t>
                  </w:r>
                </w:p>
              </w:tc>
              <w:tc>
                <w:tcPr>
                  <w:tcW w:w="257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查看已申请的多个中继号码详情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60" w:type="dxa"/>
                  <w:gridSpan w:val="2"/>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呼叫统计报表</w:t>
                  </w:r>
                </w:p>
              </w:tc>
              <w:tc>
                <w:tcPr>
                  <w:tcW w:w="130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通话报表</w:t>
                  </w: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通话报表</w:t>
                  </w:r>
                </w:p>
              </w:tc>
              <w:tc>
                <w:tcPr>
                  <w:tcW w:w="257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支持自定义指标概览；支持任意时间段查询；支持数据概览及折线趋势图形；支持通话日报及数据导出；支持录音倍速播放。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坐席统计</w:t>
                  </w: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坐席工作效率</w:t>
                  </w:r>
                </w:p>
              </w:tc>
              <w:tc>
                <w:tcPr>
                  <w:tcW w:w="257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支持数据概览对比和个人趋势分析；支持图形及列表展示；支持自定义字段和数据导出。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坐席工作状态</w:t>
                  </w:r>
                </w:p>
              </w:tc>
              <w:tc>
                <w:tcPr>
                  <w:tcW w:w="257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支持坐席状态时长、利用率、签入签出时间的统计及导出；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技能组报表</w:t>
                  </w:r>
                </w:p>
              </w:tc>
              <w:tc>
                <w:tcPr>
                  <w:tcW w:w="257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支持按技能组的工作效率统计；支持数据概览对比和各组趋势分析；支持图形及列表展示；支持自定义字段和数据导出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通话记录查询</w:t>
                  </w: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通话记录查</w:t>
                  </w:r>
                </w:p>
              </w:tc>
              <w:tc>
                <w:tcPr>
                  <w:tcW w:w="257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支持多维度筛选和自定义字段；支持通话记录明细导出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录音导出</w:t>
                  </w:r>
                </w:p>
              </w:tc>
              <w:tc>
                <w:tcPr>
                  <w:tcW w:w="257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支持录音按页批量导出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满意度统计</w:t>
                  </w: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满意度记录查询</w:t>
                  </w:r>
                </w:p>
              </w:tc>
              <w:tc>
                <w:tcPr>
                  <w:tcW w:w="257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支持满意度明细记录查询及导出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满意度统计</w:t>
                  </w:r>
                </w:p>
              </w:tc>
              <w:tc>
                <w:tcPr>
                  <w:tcW w:w="257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支持按坐席的满意度统计分析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呼入统计</w:t>
                  </w: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呼入呼损统计</w:t>
                  </w:r>
                </w:p>
              </w:tc>
              <w:tc>
                <w:tcPr>
                  <w:tcW w:w="257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支持呼入呼损及细分趋势；支持图形及列表展示；支持数据导出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按地域分布统计</w:t>
                  </w:r>
                </w:p>
              </w:tc>
              <w:tc>
                <w:tcPr>
                  <w:tcW w:w="257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支持按地域的呼入呼损统计；支持图形及列表展示；支持数据导出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呼出统计</w:t>
                  </w: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呼出呼损统计</w:t>
                  </w:r>
                </w:p>
              </w:tc>
              <w:tc>
                <w:tcPr>
                  <w:tcW w:w="257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支持呼出呼损及细分趋势；支持图形及列表展示；支持数据导出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按地域分布统计</w:t>
                  </w:r>
                </w:p>
              </w:tc>
              <w:tc>
                <w:tcPr>
                  <w:tcW w:w="257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支持按地域的呼出呼损统计；支持图形及列表展示；支持数据导出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服务总结统计</w:t>
                  </w: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服务总结统计</w:t>
                  </w:r>
                </w:p>
              </w:tc>
              <w:tc>
                <w:tcPr>
                  <w:tcW w:w="257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支持按所属业务及各级业务类型统计服务总结记录数据，支持数据导出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IVR轨迹分析</w:t>
                  </w: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IVR轨迹分析</w:t>
                  </w:r>
                </w:p>
              </w:tc>
              <w:tc>
                <w:tcPr>
                  <w:tcW w:w="257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支持按时间段和IVR统计分析各层级、各节点的流入数、流入率、放弃数、放弃率等指标，支持数据导出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160" w:type="dxa"/>
                  <w:gridSpan w:val="2"/>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录音质检</w:t>
                  </w:r>
                </w:p>
              </w:tc>
              <w:tc>
                <w:tcPr>
                  <w:tcW w:w="130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评分方案设置</w:t>
                  </w: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评分方案设置</w:t>
                  </w:r>
                </w:p>
              </w:tc>
              <w:tc>
                <w:tcPr>
                  <w:tcW w:w="257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支持自定义设置录音质检方案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录音质检</w:t>
                  </w: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质检申诉管理</w:t>
                  </w:r>
                </w:p>
              </w:tc>
              <w:tc>
                <w:tcPr>
                  <w:tcW w:w="257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设置审核流程、申诉窗口期、申诉上限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通话质检</w:t>
                  </w:r>
                </w:p>
              </w:tc>
              <w:tc>
                <w:tcPr>
                  <w:tcW w:w="257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根据条件筛选录音，按质检方案进行质检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呼叫客服得分</w:t>
                  </w:r>
                </w:p>
              </w:tc>
              <w:tc>
                <w:tcPr>
                  <w:tcW w:w="257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呼叫客服质检得分情况统计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通话质检记录</w:t>
                  </w:r>
                </w:p>
              </w:tc>
              <w:tc>
                <w:tcPr>
                  <w:tcW w:w="257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质检结果明细查看及数据导出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质检申诉</w:t>
                  </w:r>
                </w:p>
              </w:tc>
              <w:tc>
                <w:tcPr>
                  <w:tcW w:w="257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质检申诉、历史结果查询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160" w:type="dxa"/>
                  <w:gridSpan w:val="2"/>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质检</w:t>
                  </w:r>
                </w:p>
              </w:tc>
              <w:tc>
                <w:tcPr>
                  <w:tcW w:w="1309"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质检方案设置</w:t>
                  </w: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可设置多个</w:t>
                  </w:r>
                </w:p>
              </w:tc>
              <w:tc>
                <w:tcPr>
                  <w:tcW w:w="2578" w:type="dxa"/>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可设置标准分、附加加分项、附加减分项</w:t>
                  </w:r>
                </w:p>
              </w:tc>
              <w:tc>
                <w:tcPr>
                  <w:tcW w:w="2578" w:type="dxa"/>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分数段标签</w:t>
                  </w:r>
                </w:p>
              </w:tc>
              <w:tc>
                <w:tcPr>
                  <w:tcW w:w="2578" w:type="dxa"/>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可设置标签</w:t>
                  </w:r>
                </w:p>
              </w:tc>
              <w:tc>
                <w:tcPr>
                  <w:tcW w:w="2578" w:type="dxa"/>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质检抽样</w:t>
                  </w: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按照各类查询条件抽样待质检内容</w:t>
                  </w:r>
                </w:p>
              </w:tc>
              <w:tc>
                <w:tcPr>
                  <w:tcW w:w="2578" w:type="dxa"/>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可以创建常用抽样方案</w:t>
                  </w:r>
                </w:p>
              </w:tc>
              <w:tc>
                <w:tcPr>
                  <w:tcW w:w="2578" w:type="dxa"/>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可以删除常用抽样方案</w:t>
                  </w:r>
                </w:p>
              </w:tc>
              <w:tc>
                <w:tcPr>
                  <w:tcW w:w="2578" w:type="dxa"/>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质检评分</w:t>
                  </w: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可以执行重检</w:t>
                  </w:r>
                </w:p>
              </w:tc>
              <w:tc>
                <w:tcPr>
                  <w:tcW w:w="2578" w:type="dxa"/>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可以查看质检关联的工单</w:t>
                  </w:r>
                </w:p>
              </w:tc>
              <w:tc>
                <w:tcPr>
                  <w:tcW w:w="2578" w:type="dxa"/>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可以倍速播放录音</w:t>
                  </w:r>
                </w:p>
              </w:tc>
              <w:tc>
                <w:tcPr>
                  <w:tcW w:w="2578" w:type="dxa"/>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结果查询</w:t>
                  </w: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查看会话质检结果</w:t>
                  </w:r>
                </w:p>
              </w:tc>
              <w:tc>
                <w:tcPr>
                  <w:tcW w:w="2578" w:type="dxa"/>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查看历史质检结果</w:t>
                  </w:r>
                </w:p>
              </w:tc>
              <w:tc>
                <w:tcPr>
                  <w:tcW w:w="2578" w:type="dxa"/>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查看历史申诉流转</w:t>
                  </w:r>
                </w:p>
              </w:tc>
              <w:tc>
                <w:tcPr>
                  <w:tcW w:w="2578" w:type="dxa"/>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导出质检结果详情</w:t>
                  </w:r>
                </w:p>
              </w:tc>
              <w:tc>
                <w:tcPr>
                  <w:tcW w:w="2578" w:type="dxa"/>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质检申诉管理</w:t>
                  </w: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设置审核流程</w:t>
                  </w:r>
                </w:p>
              </w:tc>
              <w:tc>
                <w:tcPr>
                  <w:tcW w:w="2578" w:type="dxa"/>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设置申诉窗口期</w:t>
                  </w:r>
                </w:p>
              </w:tc>
              <w:tc>
                <w:tcPr>
                  <w:tcW w:w="2578" w:type="dxa"/>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设置申诉上限</w:t>
                  </w:r>
                </w:p>
              </w:tc>
              <w:tc>
                <w:tcPr>
                  <w:tcW w:w="2578" w:type="dxa"/>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质检申诉</w:t>
                  </w: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发起申诉</w:t>
                  </w:r>
                </w:p>
              </w:tc>
              <w:tc>
                <w:tcPr>
                  <w:tcW w:w="2578" w:type="dxa"/>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申诉审核流程</w:t>
                  </w:r>
                </w:p>
              </w:tc>
              <w:tc>
                <w:tcPr>
                  <w:tcW w:w="2578" w:type="dxa"/>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申诉事件通知</w:t>
                  </w:r>
                </w:p>
              </w:tc>
              <w:tc>
                <w:tcPr>
                  <w:tcW w:w="2578" w:type="dxa"/>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质检统计</w:t>
                  </w: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各类指标统计</w:t>
                  </w:r>
                </w:p>
              </w:tc>
              <w:tc>
                <w:tcPr>
                  <w:tcW w:w="2578" w:type="dxa"/>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客服质检得分明细</w:t>
                  </w:r>
                </w:p>
              </w:tc>
              <w:tc>
                <w:tcPr>
                  <w:tcW w:w="2578" w:type="dxa"/>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按质检方案查看各质检项得分情况</w:t>
                  </w:r>
                </w:p>
              </w:tc>
              <w:tc>
                <w:tcPr>
                  <w:tcW w:w="2578" w:type="dxa"/>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客服质检得分明细导出</w:t>
                  </w:r>
                </w:p>
              </w:tc>
              <w:tc>
                <w:tcPr>
                  <w:tcW w:w="2578" w:type="dxa"/>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技能组管理</w:t>
                  </w: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技能组管理</w:t>
                  </w:r>
                </w:p>
              </w:tc>
              <w:tc>
                <w:tcPr>
                  <w:tcW w:w="257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支持创建呼叫和电销技能组，并将坐席加入/退出技能组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坐席管理</w:t>
                  </w: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坐席管理</w:t>
                  </w:r>
                </w:p>
              </w:tc>
              <w:tc>
                <w:tcPr>
                  <w:tcW w:w="257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支持创建呼叫和电销坐席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分机账号管理</w:t>
                  </w: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查询分机账号</w:t>
                  </w:r>
                </w:p>
              </w:tc>
              <w:tc>
                <w:tcPr>
                  <w:tcW w:w="257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查询绑定或未绑定的分机账号列表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查询坐席是否绑定分机账号</w:t>
                  </w:r>
                </w:p>
              </w:tc>
              <w:tc>
                <w:tcPr>
                  <w:tcW w:w="257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用于判断坐席是否已经绑定分机账号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绑定分机账号</w:t>
                  </w:r>
                </w:p>
              </w:tc>
              <w:tc>
                <w:tcPr>
                  <w:tcW w:w="257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用于为坐席绑定分机账号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解除分机账号绑定关系</w:t>
                  </w:r>
                </w:p>
              </w:tc>
              <w:tc>
                <w:tcPr>
                  <w:tcW w:w="257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用于为坐席解除绑定分机账号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解除分机账号的注册状态</w:t>
                  </w:r>
                </w:p>
              </w:tc>
              <w:tc>
                <w:tcPr>
                  <w:tcW w:w="257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将当前已经注册状态的分机账号变为未注册状态，并返回修改后的分机账号密码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查询在线分机账号</w:t>
                  </w:r>
                </w:p>
              </w:tc>
              <w:tc>
                <w:tcPr>
                  <w:tcW w:w="257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查询当前所有在线的话机信息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外显号码管理</w:t>
                  </w: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查询外显号码</w:t>
                  </w:r>
                </w:p>
              </w:tc>
              <w:tc>
                <w:tcPr>
                  <w:tcW w:w="257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查询当前所有可使用的外显号码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删除外显号码</w:t>
                  </w:r>
                </w:p>
              </w:tc>
              <w:tc>
                <w:tcPr>
                  <w:tcW w:w="257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退回已分配的外显号码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呼叫JS组件</w:t>
                  </w: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JS组件</w:t>
                  </w:r>
                </w:p>
              </w:tc>
              <w:tc>
                <w:tcPr>
                  <w:tcW w:w="257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集成登录、修改状态、呼入、呼出、保持、转接能力的JS组件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质检管理</w:t>
                  </w: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获取呼叫质检结果</w:t>
                  </w:r>
                </w:p>
              </w:tc>
              <w:tc>
                <w:tcPr>
                  <w:tcW w:w="257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获取系统中呼叫质检结果信息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通话记录</w:t>
                  </w: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获取通话记录</w:t>
                  </w:r>
                </w:p>
              </w:tc>
              <w:tc>
                <w:tcPr>
                  <w:tcW w:w="257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根据坐席账号获取通话记录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获取通话记录</w:t>
                  </w:r>
                </w:p>
              </w:tc>
              <w:tc>
                <w:tcPr>
                  <w:tcW w:w="257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根据callid获取通话记录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推送主话单信息</w:t>
                  </w:r>
                </w:p>
              </w:tc>
              <w:tc>
                <w:tcPr>
                  <w:tcW w:w="257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推送主话单信息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推送通话详情信息</w:t>
                  </w:r>
                </w:p>
              </w:tc>
              <w:tc>
                <w:tcPr>
                  <w:tcW w:w="257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推送全部话详细信息（包括主话单和子话单）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回调消息转发接口</w:t>
                  </w:r>
                </w:p>
              </w:tc>
              <w:tc>
                <w:tcPr>
                  <w:tcW w:w="257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所有呼叫中心产生的数据推送至企业预先提供的回调地址上（开始通话、用户振铃、用户接听、坐席振铃、坐席接通、转接坐席消息、转接连接、转接确认、转接挂断、通话结束、满意度调查）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支持第三方接口</w:t>
                  </w: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IVR信息交互验证接口</w:t>
                  </w:r>
                </w:p>
              </w:tc>
              <w:tc>
                <w:tcPr>
                  <w:tcW w:w="257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根据来电号码和按键输入值进行校验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智能路由指定坐席接待接口</w:t>
                  </w:r>
                </w:p>
              </w:tc>
              <w:tc>
                <w:tcPr>
                  <w:tcW w:w="257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调用第三方接口，根据来电号码指定接待坐席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智能路由判断VIP客户接口</w:t>
                  </w:r>
                </w:p>
              </w:tc>
              <w:tc>
                <w:tcPr>
                  <w:tcW w:w="257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调用第三方接口，根据来电号码判断客户身份（VIP或普通）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160" w:type="dxa"/>
                  <w:gridSpan w:val="2"/>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客户中心</w:t>
                  </w:r>
                </w:p>
              </w:tc>
              <w:tc>
                <w:tcPr>
                  <w:tcW w:w="1309"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公司列表</w:t>
                  </w: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公司管理</w:t>
                  </w:r>
                </w:p>
              </w:tc>
              <w:tc>
                <w:tcPr>
                  <w:tcW w:w="257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支持单个新建和批量导入/导出公司信息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查看公司详情</w:t>
                  </w:r>
                </w:p>
              </w:tc>
              <w:tc>
                <w:tcPr>
                  <w:tcW w:w="257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可以查看公司名下的所有客户信息的详情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客户列表</w:t>
                  </w: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自定义字段</w:t>
                  </w:r>
                </w:p>
              </w:tc>
              <w:tc>
                <w:tcPr>
                  <w:tcW w:w="257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支持客户中心自定义字段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客户管理</w:t>
                  </w:r>
                </w:p>
              </w:tc>
              <w:tc>
                <w:tcPr>
                  <w:tcW w:w="257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支持单个新建和批量导入/导出客户信息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黑名单管理</w:t>
                  </w:r>
                </w:p>
              </w:tc>
              <w:tc>
                <w:tcPr>
                  <w:tcW w:w="257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支持管理员将客户拉黑以及解除拉黑；查看黑名单信息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客户视图</w:t>
                  </w:r>
                </w:p>
              </w:tc>
              <w:tc>
                <w:tcPr>
                  <w:tcW w:w="257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支持查看客户详情；查看历史动态（联络记录、呼叫历史、工单、IM、其他记录及拉黑记录）及创建工单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客服中心支持增量更新</w:t>
                  </w:r>
                </w:p>
              </w:tc>
              <w:tc>
                <w:tcPr>
                  <w:tcW w:w="257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管理员可在客户中心列表里点击导入时，如果客户已存在，系统将自动更新导入表格里客户信息改变了的字段内容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发起外呼</w:t>
                  </w:r>
                </w:p>
              </w:tc>
              <w:tc>
                <w:tcPr>
                  <w:tcW w:w="257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支持查看客户信息时，直接发起外呼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160" w:type="dxa"/>
                  <w:gridSpan w:val="2"/>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大屏监控</w:t>
                  </w:r>
                </w:p>
              </w:tc>
              <w:tc>
                <w:tcPr>
                  <w:tcW w:w="130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呼叫中心监控</w:t>
                  </w: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呼叫监控</w:t>
                  </w:r>
                </w:p>
              </w:tc>
              <w:tc>
                <w:tcPr>
                  <w:tcW w:w="2578" w:type="dxa"/>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自定义数据</w:t>
                  </w: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自定义指标、自定义技能组</w:t>
                  </w:r>
                </w:p>
              </w:tc>
              <w:tc>
                <w:tcPr>
                  <w:tcW w:w="257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数据指标分为自定义数据区和自定义图表区；技能组筛选可根据需求选择需要展示的技能组数据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大屏投放</w:t>
                  </w: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可分享链接地址投放多个不同的大屏页面</w:t>
                  </w:r>
                </w:p>
              </w:tc>
              <w:tc>
                <w:tcPr>
                  <w:tcW w:w="2578" w:type="dxa"/>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160" w:type="dxa"/>
                  <w:gridSpan w:val="2"/>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客服管理</w:t>
                  </w:r>
                </w:p>
              </w:tc>
              <w:tc>
                <w:tcPr>
                  <w:tcW w:w="130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客服列表</w:t>
                  </w: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添加呼叫客服、创建、激活、启用停用</w:t>
                  </w:r>
                </w:p>
              </w:tc>
              <w:tc>
                <w:tcPr>
                  <w:tcW w:w="257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支持创建、激活、启用、停用呼叫客服；支持查看客服信息详情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组织架构</w:t>
                  </w: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设置多级组织架构</w:t>
                  </w:r>
                </w:p>
              </w:tc>
              <w:tc>
                <w:tcPr>
                  <w:tcW w:w="257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支持创建多级部门及部门职能；支持设置部门客服人员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60" w:type="dxa"/>
                  <w:gridSpan w:val="2"/>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角色权限</w:t>
                  </w: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设置呼叫角色权限</w:t>
                  </w:r>
                </w:p>
              </w:tc>
              <w:tc>
                <w:tcPr>
                  <w:tcW w:w="257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可区分呼叫管理员、呼叫客服分别设置对应的权限组；支持各权限组的成员管理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3" w:hRule="atLeast"/>
              </w:trPr>
              <w:tc>
                <w:tcPr>
                  <w:tcW w:w="6574" w:type="dxa"/>
                  <w:gridSpan w:val="5"/>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2.在线客服系统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0" w:hRule="atLeast"/>
              </w:trPr>
              <w:tc>
                <w:tcPr>
                  <w:tcW w:w="2469" w:type="dxa"/>
                  <w:gridSpan w:val="3"/>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0"/>
                      <w:sz w:val="20"/>
                      <w:szCs w:val="20"/>
                      <w:lang w:bidi="ar"/>
                    </w:rPr>
                    <w:t>功能类别</w:t>
                  </w:r>
                </w:p>
              </w:tc>
              <w:tc>
                <w:tcPr>
                  <w:tcW w:w="1527"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功能点</w:t>
                  </w:r>
                </w:p>
              </w:tc>
              <w:tc>
                <w:tcPr>
                  <w:tcW w:w="2578"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kern w:val="0"/>
                      <w:sz w:val="20"/>
                      <w:szCs w:val="20"/>
                      <w:lang w:bidi="ar"/>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60" w:hRule="atLeast"/>
              </w:trPr>
              <w:tc>
                <w:tcPr>
                  <w:tcW w:w="1160" w:type="dxa"/>
                  <w:gridSpan w:val="2"/>
                  <w:vMerge w:val="restart"/>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企业管理</w:t>
                  </w:r>
                </w:p>
              </w:tc>
              <w:tc>
                <w:tcPr>
                  <w:tcW w:w="1309" w:type="dxa"/>
                  <w:vMerge w:val="restart"/>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添加企业</w:t>
                  </w:r>
                </w:p>
              </w:tc>
              <w:tc>
                <w:tcPr>
                  <w:tcW w:w="1527"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填写企业信息</w:t>
                  </w:r>
                </w:p>
              </w:tc>
              <w:tc>
                <w:tcPr>
                  <w:tcW w:w="2578"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添加必要企业信息以创建子商户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527"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填写坐席购买信息</w:t>
                  </w:r>
                </w:p>
              </w:tc>
              <w:tc>
                <w:tcPr>
                  <w:tcW w:w="2578"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填写子商户购买坐席信息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60"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restart"/>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企业管理</w:t>
                  </w:r>
                </w:p>
              </w:tc>
              <w:tc>
                <w:tcPr>
                  <w:tcW w:w="1527"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筛选查询企业信息</w:t>
                  </w:r>
                </w:p>
              </w:tc>
              <w:tc>
                <w:tcPr>
                  <w:tcW w:w="2578"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通过创建时间等维度进行企业筛选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527"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查看企业信息</w:t>
                  </w:r>
                </w:p>
              </w:tc>
              <w:tc>
                <w:tcPr>
                  <w:tcW w:w="2578"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查看企业超管、联系电话等维度信息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trPr>
              <w:tc>
                <w:tcPr>
                  <w:tcW w:w="1160" w:type="dxa"/>
                  <w:gridSpan w:val="2"/>
                  <w:vMerge w:val="restart"/>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系统设置</w:t>
                  </w:r>
                </w:p>
              </w:tc>
              <w:tc>
                <w:tcPr>
                  <w:tcW w:w="1309" w:type="dxa"/>
                  <w:vMerge w:val="restart"/>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功能设置</w:t>
                  </w:r>
                </w:p>
              </w:tc>
              <w:tc>
                <w:tcPr>
                  <w:tcW w:w="1527"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对接页面</w:t>
                  </w:r>
                </w:p>
              </w:tc>
              <w:tc>
                <w:tcPr>
                  <w:tcW w:w="2578"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支持配置对接页面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527"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上下班时间设置</w:t>
                  </w:r>
                </w:p>
              </w:tc>
              <w:tc>
                <w:tcPr>
                  <w:tcW w:w="2578" w:type="dxa"/>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527"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自定义字段</w:t>
                  </w:r>
                </w:p>
              </w:tc>
              <w:tc>
                <w:tcPr>
                  <w:tcW w:w="2578" w:type="dxa"/>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527"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客服自定义字段</w:t>
                  </w:r>
                </w:p>
              </w:tc>
              <w:tc>
                <w:tcPr>
                  <w:tcW w:w="2578" w:type="dxa"/>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0"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restart"/>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支持渠道</w:t>
                  </w:r>
                </w:p>
              </w:tc>
              <w:tc>
                <w:tcPr>
                  <w:tcW w:w="1527"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SDK</w:t>
                  </w:r>
                </w:p>
              </w:tc>
              <w:tc>
                <w:tcPr>
                  <w:tcW w:w="2578"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支持平台对接 SDK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527"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移动网站</w:t>
                  </w:r>
                </w:p>
              </w:tc>
              <w:tc>
                <w:tcPr>
                  <w:tcW w:w="2578"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支持平台对接移动网站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527"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微信小程序原生</w:t>
                  </w:r>
                </w:p>
              </w:tc>
              <w:tc>
                <w:tcPr>
                  <w:tcW w:w="2578"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支持平台对接微信小程序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restart"/>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在线设置</w:t>
                  </w:r>
                </w:p>
              </w:tc>
              <w:tc>
                <w:tcPr>
                  <w:tcW w:w="1527"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客服工作台设置</w:t>
                  </w:r>
                </w:p>
              </w:tc>
              <w:tc>
                <w:tcPr>
                  <w:tcW w:w="2578" w:type="dxa"/>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527"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在线客服分配</w:t>
                  </w:r>
                </w:p>
              </w:tc>
              <w:tc>
                <w:tcPr>
                  <w:tcW w:w="2578" w:type="dxa"/>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527"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会话自动应答</w:t>
                  </w:r>
                </w:p>
              </w:tc>
              <w:tc>
                <w:tcPr>
                  <w:tcW w:w="2578" w:type="dxa"/>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527"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询前表单设置</w:t>
                  </w:r>
                </w:p>
              </w:tc>
              <w:tc>
                <w:tcPr>
                  <w:tcW w:w="2578" w:type="dxa"/>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527"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留言设置</w:t>
                  </w:r>
                </w:p>
              </w:tc>
              <w:tc>
                <w:tcPr>
                  <w:tcW w:w="2578" w:type="dxa"/>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527"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人工满意度评价设置</w:t>
                  </w:r>
                </w:p>
              </w:tc>
              <w:tc>
                <w:tcPr>
                  <w:tcW w:w="2578" w:type="dxa"/>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527"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自定义客服端表情</w:t>
                  </w:r>
                </w:p>
              </w:tc>
              <w:tc>
                <w:tcPr>
                  <w:tcW w:w="2578" w:type="dxa"/>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527"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会话报警设置</w:t>
                  </w:r>
                </w:p>
              </w:tc>
              <w:tc>
                <w:tcPr>
                  <w:tcW w:w="2578" w:type="dxa"/>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527"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在线技能组设置</w:t>
                  </w:r>
                </w:p>
              </w:tc>
              <w:tc>
                <w:tcPr>
                  <w:tcW w:w="2578" w:type="dxa"/>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527"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敏感词设置</w:t>
                  </w:r>
                </w:p>
              </w:tc>
              <w:tc>
                <w:tcPr>
                  <w:tcW w:w="2578" w:type="dxa"/>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527"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接口推送设置</w:t>
                  </w:r>
                </w:p>
              </w:tc>
              <w:tc>
                <w:tcPr>
                  <w:tcW w:w="2578" w:type="dxa"/>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restart"/>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工单</w:t>
                  </w:r>
                </w:p>
              </w:tc>
              <w:tc>
                <w:tcPr>
                  <w:tcW w:w="1527"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工单设置</w:t>
                  </w:r>
                </w:p>
              </w:tc>
              <w:tc>
                <w:tcPr>
                  <w:tcW w:w="2578" w:type="dxa"/>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527"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工单技能组设置</w:t>
                  </w:r>
                </w:p>
              </w:tc>
              <w:tc>
                <w:tcPr>
                  <w:tcW w:w="2578" w:type="dxa"/>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527"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工单上下班时间设置</w:t>
                  </w:r>
                </w:p>
              </w:tc>
              <w:tc>
                <w:tcPr>
                  <w:tcW w:w="2578" w:type="dxa"/>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527"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工单插件</w:t>
                  </w:r>
                </w:p>
              </w:tc>
              <w:tc>
                <w:tcPr>
                  <w:tcW w:w="2578" w:type="dxa"/>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527"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反馈标签</w:t>
                  </w:r>
                </w:p>
              </w:tc>
              <w:tc>
                <w:tcPr>
                  <w:tcW w:w="2578" w:type="dxa"/>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527"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工单预设回复设置</w:t>
                  </w:r>
                </w:p>
              </w:tc>
              <w:tc>
                <w:tcPr>
                  <w:tcW w:w="2578" w:type="dxa"/>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527"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留言模板设置</w:t>
                  </w:r>
                </w:p>
              </w:tc>
              <w:tc>
                <w:tcPr>
                  <w:tcW w:w="2578" w:type="dxa"/>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527"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自定义邮件模版</w:t>
                  </w:r>
                </w:p>
              </w:tc>
              <w:tc>
                <w:tcPr>
                  <w:tcW w:w="2578" w:type="dxa"/>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527"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工单自定义字段</w:t>
                  </w:r>
                </w:p>
              </w:tc>
              <w:tc>
                <w:tcPr>
                  <w:tcW w:w="2578" w:type="dxa"/>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527"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工单自定义模板</w:t>
                  </w:r>
                </w:p>
              </w:tc>
              <w:tc>
                <w:tcPr>
                  <w:tcW w:w="2578" w:type="dxa"/>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527"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工单自定义分类</w:t>
                  </w:r>
                </w:p>
              </w:tc>
              <w:tc>
                <w:tcPr>
                  <w:tcW w:w="2578" w:type="dxa"/>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527"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工单满意度设置</w:t>
                  </w:r>
                </w:p>
              </w:tc>
              <w:tc>
                <w:tcPr>
                  <w:tcW w:w="2578" w:type="dxa"/>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527"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流转触发器</w:t>
                  </w:r>
                </w:p>
              </w:tc>
              <w:tc>
                <w:tcPr>
                  <w:tcW w:w="2578" w:type="dxa"/>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527"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定时触发器</w:t>
                  </w:r>
                </w:p>
              </w:tc>
              <w:tc>
                <w:tcPr>
                  <w:tcW w:w="2578" w:type="dxa"/>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527"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工单处理时效（SLA）</w:t>
                  </w:r>
                </w:p>
              </w:tc>
              <w:tc>
                <w:tcPr>
                  <w:tcW w:w="2578" w:type="dxa"/>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restart"/>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在线机器人</w:t>
                  </w:r>
                </w:p>
              </w:tc>
              <w:tc>
                <w:tcPr>
                  <w:tcW w:w="1527"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机器人信息</w:t>
                  </w:r>
                </w:p>
              </w:tc>
              <w:tc>
                <w:tcPr>
                  <w:tcW w:w="2578" w:type="dxa"/>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527"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智能优化策略</w:t>
                  </w:r>
                </w:p>
              </w:tc>
              <w:tc>
                <w:tcPr>
                  <w:tcW w:w="2578" w:type="dxa"/>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527"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关键词屏蔽</w:t>
                  </w:r>
                </w:p>
              </w:tc>
              <w:tc>
                <w:tcPr>
                  <w:tcW w:w="2578" w:type="dxa"/>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527"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转人工关键词设置</w:t>
                  </w:r>
                </w:p>
              </w:tc>
              <w:tc>
                <w:tcPr>
                  <w:tcW w:w="2578" w:type="dxa"/>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restart"/>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客服管理</w:t>
                  </w:r>
                </w:p>
              </w:tc>
              <w:tc>
                <w:tcPr>
                  <w:tcW w:w="1527"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客服列表</w:t>
                  </w:r>
                </w:p>
              </w:tc>
              <w:tc>
                <w:tcPr>
                  <w:tcW w:w="2578" w:type="dxa"/>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527"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组织架构</w:t>
                  </w:r>
                </w:p>
              </w:tc>
              <w:tc>
                <w:tcPr>
                  <w:tcW w:w="2578" w:type="dxa"/>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527"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角色权限管理</w:t>
                  </w:r>
                </w:p>
              </w:tc>
              <w:tc>
                <w:tcPr>
                  <w:tcW w:w="2578" w:type="dxa"/>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账户</w:t>
                  </w:r>
                </w:p>
              </w:tc>
              <w:tc>
                <w:tcPr>
                  <w:tcW w:w="1527"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客服账户</w:t>
                  </w:r>
                </w:p>
              </w:tc>
              <w:tc>
                <w:tcPr>
                  <w:tcW w:w="2578" w:type="dxa"/>
                  <w:shd w:val="clear" w:color="auto" w:fill="auto"/>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trPr>
              <w:tc>
                <w:tcPr>
                  <w:tcW w:w="1160" w:type="dxa"/>
                  <w:gridSpan w:val="2"/>
                  <w:vMerge w:val="restart"/>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首页</w:t>
                  </w:r>
                </w:p>
              </w:tc>
              <w:tc>
                <w:tcPr>
                  <w:tcW w:w="1309" w:type="dxa"/>
                  <w:vMerge w:val="restart"/>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平台监控</w:t>
                  </w:r>
                </w:p>
              </w:tc>
              <w:tc>
                <w:tcPr>
                  <w:tcW w:w="1527" w:type="dxa"/>
                  <w:vMerge w:val="restart"/>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平台所有企业监控看板</w:t>
                  </w:r>
                </w:p>
              </w:tc>
              <w:tc>
                <w:tcPr>
                  <w:tcW w:w="2578"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实时监控数据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527"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2578"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TOP10 当前排队会话数最多的企业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527"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2578"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今日数据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4105" w:type="dxa"/>
                  <w:gridSpan w:val="2"/>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商户客服监控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527" w:type="dxa"/>
                  <w:vMerge w:val="restart"/>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自定义子商户监控看板</w:t>
                  </w:r>
                </w:p>
              </w:tc>
              <w:tc>
                <w:tcPr>
                  <w:tcW w:w="2578"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定义子商户监控看板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527"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2578"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子商户今日数据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restart"/>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主商户监控</w:t>
                  </w:r>
                </w:p>
              </w:tc>
              <w:tc>
                <w:tcPr>
                  <w:tcW w:w="1527"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在线客服概况</w:t>
                  </w:r>
                </w:p>
              </w:tc>
              <w:tc>
                <w:tcPr>
                  <w:tcW w:w="2578" w:type="dxa"/>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527"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会话监控</w:t>
                  </w:r>
                </w:p>
              </w:tc>
              <w:tc>
                <w:tcPr>
                  <w:tcW w:w="2578" w:type="dxa"/>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restart"/>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我的接待</w:t>
                  </w:r>
                </w:p>
              </w:tc>
              <w:tc>
                <w:tcPr>
                  <w:tcW w:w="1527" w:type="dxa"/>
                  <w:vMerge w:val="restart"/>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我的接待</w:t>
                  </w:r>
                </w:p>
              </w:tc>
              <w:tc>
                <w:tcPr>
                  <w:tcW w:w="2578"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527"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2578"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我的数据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527"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2578"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分时段统计数据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restart"/>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我的工单</w:t>
                  </w:r>
                </w:p>
              </w:tc>
              <w:tc>
                <w:tcPr>
                  <w:tcW w:w="1527"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数据看板</w:t>
                  </w:r>
                </w:p>
              </w:tc>
              <w:tc>
                <w:tcPr>
                  <w:tcW w:w="2578" w:type="dxa"/>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527"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工单明细数据</w:t>
                  </w:r>
                </w:p>
              </w:tc>
              <w:tc>
                <w:tcPr>
                  <w:tcW w:w="2578" w:type="dxa"/>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160" w:type="dxa"/>
                  <w:gridSpan w:val="2"/>
                  <w:vMerge w:val="restart"/>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统计</w:t>
                  </w:r>
                </w:p>
              </w:tc>
              <w:tc>
                <w:tcPr>
                  <w:tcW w:w="1309" w:type="dxa"/>
                  <w:vMerge w:val="restart"/>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在线客服</w:t>
                  </w:r>
                </w:p>
              </w:tc>
              <w:tc>
                <w:tcPr>
                  <w:tcW w:w="1527" w:type="dxa"/>
                  <w:vMerge w:val="restart"/>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会话统计</w:t>
                  </w:r>
                </w:p>
              </w:tc>
              <w:tc>
                <w:tcPr>
                  <w:tcW w:w="2578"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会话统计概况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527"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2578"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客户咨询统计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527"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2578"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客户会话统计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527"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2578"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会话消息统计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527"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2578"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会话记录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527" w:type="dxa"/>
                  <w:vMerge w:val="restart"/>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客服统计</w:t>
                  </w:r>
                </w:p>
              </w:tc>
              <w:tc>
                <w:tcPr>
                  <w:tcW w:w="2578"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客服统计概况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527"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2578"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客服工作量统计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527"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2578"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分时接待统计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527"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2578"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接待压力统计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527"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2578"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客服订单统计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527" w:type="dxa"/>
                  <w:vMerge w:val="restart"/>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满意度评价统计</w:t>
                  </w:r>
                </w:p>
              </w:tc>
              <w:tc>
                <w:tcPr>
                  <w:tcW w:w="2578"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满意度统计概览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527"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2578"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人工满意度评价统计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527"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2578"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机器人满意度评价统计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527" w:type="dxa"/>
                  <w:vMerge w:val="restart"/>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访问统计</w:t>
                  </w:r>
                </w:p>
              </w:tc>
              <w:tc>
                <w:tcPr>
                  <w:tcW w:w="2578"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客户来源统计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527"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2578"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搜索词统计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527"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2578"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受访页面统计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527"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2578"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着陆页面统计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527"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2578"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对话页面统计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restart"/>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工单客服</w:t>
                  </w:r>
                </w:p>
              </w:tc>
              <w:tc>
                <w:tcPr>
                  <w:tcW w:w="1527"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工单统计概览</w:t>
                  </w:r>
                </w:p>
              </w:tc>
              <w:tc>
                <w:tcPr>
                  <w:tcW w:w="2578" w:type="dxa"/>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527"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客服工作量</w:t>
                  </w:r>
                </w:p>
              </w:tc>
              <w:tc>
                <w:tcPr>
                  <w:tcW w:w="2578" w:type="dxa"/>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527"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工单分类统计</w:t>
                  </w:r>
                </w:p>
              </w:tc>
              <w:tc>
                <w:tcPr>
                  <w:tcW w:w="2578" w:type="dxa"/>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527"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工单满意度统计</w:t>
                  </w:r>
                </w:p>
              </w:tc>
              <w:tc>
                <w:tcPr>
                  <w:tcW w:w="2578" w:type="dxa"/>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527"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自定义报表</w:t>
                  </w:r>
                </w:p>
              </w:tc>
              <w:tc>
                <w:tcPr>
                  <w:tcW w:w="2578" w:type="dxa"/>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restart"/>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机器人客服</w:t>
                  </w:r>
                </w:p>
              </w:tc>
              <w:tc>
                <w:tcPr>
                  <w:tcW w:w="1527" w:type="dxa"/>
                  <w:vMerge w:val="restart"/>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机器人回答统计</w:t>
                  </w:r>
                </w:p>
              </w:tc>
              <w:tc>
                <w:tcPr>
                  <w:tcW w:w="2578"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回答类型统计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527"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2578"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命中问题统计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527"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客户提问统计</w:t>
                  </w:r>
                </w:p>
              </w:tc>
              <w:tc>
                <w:tcPr>
                  <w:tcW w:w="2578" w:type="dxa"/>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527"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维护工作量统计</w:t>
                  </w:r>
                </w:p>
              </w:tc>
              <w:tc>
                <w:tcPr>
                  <w:tcW w:w="2578" w:type="dxa"/>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527"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问题评价统计</w:t>
                  </w:r>
                </w:p>
              </w:tc>
              <w:tc>
                <w:tcPr>
                  <w:tcW w:w="2578" w:type="dxa"/>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160" w:type="dxa"/>
                  <w:gridSpan w:val="2"/>
                  <w:vMerge w:val="restart"/>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质检</w:t>
                  </w:r>
                </w:p>
              </w:tc>
              <w:tc>
                <w:tcPr>
                  <w:tcW w:w="1309" w:type="dxa"/>
                  <w:vMerge w:val="restart"/>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会话质检</w:t>
                  </w:r>
                </w:p>
              </w:tc>
              <w:tc>
                <w:tcPr>
                  <w:tcW w:w="1527"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质检评分</w:t>
                  </w:r>
                </w:p>
              </w:tc>
              <w:tc>
                <w:tcPr>
                  <w:tcW w:w="2578" w:type="dxa"/>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160" w:type="dxa"/>
                  <w:gridSpan w:val="2"/>
                  <w:vMerge w:val="continue"/>
                  <w:shd w:val="clear" w:color="auto" w:fill="auto"/>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527"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结果查询</w:t>
                  </w:r>
                </w:p>
              </w:tc>
              <w:tc>
                <w:tcPr>
                  <w:tcW w:w="2578" w:type="dxa"/>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160" w:type="dxa"/>
                  <w:gridSpan w:val="2"/>
                  <w:vMerge w:val="continue"/>
                  <w:shd w:val="clear" w:color="auto" w:fill="auto"/>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527"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会话质检</w:t>
                  </w:r>
                </w:p>
              </w:tc>
              <w:tc>
                <w:tcPr>
                  <w:tcW w:w="2578" w:type="dxa"/>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160" w:type="dxa"/>
                  <w:gridSpan w:val="2"/>
                  <w:vMerge w:val="continue"/>
                  <w:shd w:val="clear" w:color="auto" w:fill="auto"/>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527"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质检统计</w:t>
                  </w:r>
                </w:p>
              </w:tc>
              <w:tc>
                <w:tcPr>
                  <w:tcW w:w="2578" w:type="dxa"/>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trPr>
              <w:tc>
                <w:tcPr>
                  <w:tcW w:w="1160" w:type="dxa"/>
                  <w:gridSpan w:val="2"/>
                  <w:vMerge w:val="continue"/>
                  <w:shd w:val="clear" w:color="auto" w:fill="auto"/>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restart"/>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人工质检配置</w:t>
                  </w:r>
                </w:p>
              </w:tc>
              <w:tc>
                <w:tcPr>
                  <w:tcW w:w="1527"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会话质检方案</w:t>
                  </w:r>
                </w:p>
              </w:tc>
              <w:tc>
                <w:tcPr>
                  <w:tcW w:w="2578" w:type="dxa"/>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160" w:type="dxa"/>
                  <w:gridSpan w:val="2"/>
                  <w:vMerge w:val="continue"/>
                  <w:shd w:val="clear" w:color="auto" w:fill="auto"/>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527"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会话质检工作流程</w:t>
                  </w:r>
                </w:p>
              </w:tc>
              <w:tc>
                <w:tcPr>
                  <w:tcW w:w="2578" w:type="dxa"/>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160" w:type="dxa"/>
                  <w:gridSpan w:val="2"/>
                  <w:vMerge w:val="restart"/>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工单中心</w:t>
                  </w:r>
                </w:p>
              </w:tc>
              <w:tc>
                <w:tcPr>
                  <w:tcW w:w="1309" w:type="dxa"/>
                  <w:vMerge w:val="restart"/>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我的工单查询</w:t>
                  </w:r>
                </w:p>
              </w:tc>
              <w:tc>
                <w:tcPr>
                  <w:tcW w:w="1527"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自定义查询</w:t>
                  </w:r>
                </w:p>
              </w:tc>
              <w:tc>
                <w:tcPr>
                  <w:tcW w:w="2578" w:type="dxa"/>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160" w:type="dxa"/>
                  <w:gridSpan w:val="2"/>
                  <w:vMerge w:val="continue"/>
                  <w:shd w:val="clear" w:color="auto" w:fill="auto"/>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p>
              </w:tc>
              <w:tc>
                <w:tcPr>
                  <w:tcW w:w="1527"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待处理的工单</w:t>
                  </w:r>
                </w:p>
              </w:tc>
              <w:tc>
                <w:tcPr>
                  <w:tcW w:w="2578" w:type="dxa"/>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160" w:type="dxa"/>
                  <w:gridSpan w:val="2"/>
                  <w:vMerge w:val="continue"/>
                  <w:shd w:val="clear" w:color="auto" w:fill="auto"/>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restart"/>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527"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我处理的工单</w:t>
                  </w:r>
                </w:p>
              </w:tc>
              <w:tc>
                <w:tcPr>
                  <w:tcW w:w="2578" w:type="dxa"/>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160" w:type="dxa"/>
                  <w:gridSpan w:val="2"/>
                  <w:vMerge w:val="continue"/>
                  <w:shd w:val="clear" w:color="auto" w:fill="auto"/>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527"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我创建的工单</w:t>
                  </w:r>
                </w:p>
              </w:tc>
              <w:tc>
                <w:tcPr>
                  <w:tcW w:w="2578" w:type="dxa"/>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160" w:type="dxa"/>
                  <w:gridSpan w:val="2"/>
                  <w:vMerge w:val="continue"/>
                  <w:shd w:val="clear" w:color="auto" w:fill="auto"/>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527"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我解决的工单</w:t>
                  </w:r>
                </w:p>
              </w:tc>
              <w:tc>
                <w:tcPr>
                  <w:tcW w:w="2578" w:type="dxa"/>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160" w:type="dxa"/>
                  <w:gridSpan w:val="2"/>
                  <w:vMerge w:val="continue"/>
                  <w:shd w:val="clear" w:color="auto" w:fill="auto"/>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527"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我关注的工单</w:t>
                  </w:r>
                </w:p>
              </w:tc>
              <w:tc>
                <w:tcPr>
                  <w:tcW w:w="2578" w:type="dxa"/>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160" w:type="dxa"/>
                  <w:gridSpan w:val="2"/>
                  <w:vMerge w:val="restart"/>
                  <w:shd w:val="clear" w:color="auto" w:fill="auto"/>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知识库</w:t>
                  </w:r>
                </w:p>
              </w:tc>
              <w:tc>
                <w:tcPr>
                  <w:tcW w:w="1309"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我的客服组</w:t>
                  </w:r>
                </w:p>
              </w:tc>
              <w:tc>
                <w:tcPr>
                  <w:tcW w:w="1527"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未分配的工单</w:t>
                  </w:r>
                </w:p>
              </w:tc>
              <w:tc>
                <w:tcPr>
                  <w:tcW w:w="2578" w:type="dxa"/>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160" w:type="dxa"/>
                  <w:gridSpan w:val="2"/>
                  <w:vMerge w:val="continue"/>
                  <w:shd w:val="clear" w:color="auto" w:fill="auto"/>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restart"/>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所有工单</w:t>
                  </w:r>
                </w:p>
              </w:tc>
              <w:tc>
                <w:tcPr>
                  <w:tcW w:w="1527"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待处理的工单</w:t>
                  </w:r>
                </w:p>
              </w:tc>
              <w:tc>
                <w:tcPr>
                  <w:tcW w:w="2578" w:type="dxa"/>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160" w:type="dxa"/>
                  <w:gridSpan w:val="2"/>
                  <w:vMerge w:val="continue"/>
                  <w:shd w:val="clear" w:color="auto" w:fill="auto"/>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527"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组内处理的工单</w:t>
                  </w:r>
                </w:p>
              </w:tc>
              <w:tc>
                <w:tcPr>
                  <w:tcW w:w="2578" w:type="dxa"/>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160" w:type="dxa"/>
                  <w:gridSpan w:val="2"/>
                  <w:vMerge w:val="continue"/>
                  <w:shd w:val="clear" w:color="auto" w:fill="auto"/>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527"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组内创建的工单</w:t>
                  </w:r>
                </w:p>
              </w:tc>
              <w:tc>
                <w:tcPr>
                  <w:tcW w:w="2578" w:type="dxa"/>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160" w:type="dxa"/>
                  <w:gridSpan w:val="2"/>
                  <w:vMerge w:val="continue"/>
                  <w:shd w:val="clear" w:color="auto" w:fill="auto"/>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527"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已解决的工单</w:t>
                  </w:r>
                </w:p>
              </w:tc>
              <w:tc>
                <w:tcPr>
                  <w:tcW w:w="2578" w:type="dxa"/>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160" w:type="dxa"/>
                  <w:gridSpan w:val="2"/>
                  <w:vMerge w:val="continue"/>
                  <w:shd w:val="clear" w:color="auto" w:fill="auto"/>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p>
              </w:tc>
              <w:tc>
                <w:tcPr>
                  <w:tcW w:w="1527"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未分配的工单</w:t>
                  </w:r>
                </w:p>
              </w:tc>
              <w:tc>
                <w:tcPr>
                  <w:tcW w:w="2578" w:type="dxa"/>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160" w:type="dxa"/>
                  <w:gridSpan w:val="2"/>
                  <w:vMerge w:val="continue"/>
                  <w:shd w:val="clear" w:color="auto" w:fill="auto"/>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restart"/>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SLA服务</w:t>
                  </w:r>
                </w:p>
              </w:tc>
              <w:tc>
                <w:tcPr>
                  <w:tcW w:w="1527"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所有待处理</w:t>
                  </w:r>
                </w:p>
              </w:tc>
              <w:tc>
                <w:tcPr>
                  <w:tcW w:w="2578" w:type="dxa"/>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160" w:type="dxa"/>
                  <w:gridSpan w:val="2"/>
                  <w:vMerge w:val="continue"/>
                  <w:shd w:val="clear" w:color="auto" w:fill="auto"/>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527"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所有已处理</w:t>
                  </w:r>
                </w:p>
              </w:tc>
              <w:tc>
                <w:tcPr>
                  <w:tcW w:w="2578" w:type="dxa"/>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160" w:type="dxa"/>
                  <w:gridSpan w:val="2"/>
                  <w:vMerge w:val="continue"/>
                  <w:shd w:val="clear" w:color="auto" w:fill="auto"/>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527"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已删除工单</w:t>
                  </w:r>
                </w:p>
              </w:tc>
              <w:tc>
                <w:tcPr>
                  <w:tcW w:w="2578" w:type="dxa"/>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160" w:type="dxa"/>
                  <w:gridSpan w:val="2"/>
                  <w:vMerge w:val="continue"/>
                  <w:shd w:val="clear" w:color="auto" w:fill="auto"/>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p>
              </w:tc>
              <w:tc>
                <w:tcPr>
                  <w:tcW w:w="1527"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大于24小时未分配</w:t>
                  </w:r>
                </w:p>
              </w:tc>
              <w:tc>
                <w:tcPr>
                  <w:tcW w:w="2578" w:type="dxa"/>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160" w:type="dxa"/>
                  <w:gridSpan w:val="2"/>
                  <w:vMerge w:val="continue"/>
                  <w:shd w:val="clear" w:color="auto" w:fill="auto"/>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527"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大于48小时为解决</w:t>
                  </w:r>
                </w:p>
              </w:tc>
              <w:tc>
                <w:tcPr>
                  <w:tcW w:w="2578" w:type="dxa"/>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160" w:type="dxa"/>
                  <w:gridSpan w:val="2"/>
                  <w:vMerge w:val="continue"/>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p>
              </w:tc>
              <w:tc>
                <w:tcPr>
                  <w:tcW w:w="1309" w:type="dxa"/>
                  <w:vMerge w:val="restart"/>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内部知识库机器人知识库</w:t>
                  </w:r>
                </w:p>
              </w:tc>
              <w:tc>
                <w:tcPr>
                  <w:tcW w:w="1527"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单轮问题管理</w:t>
                  </w:r>
                </w:p>
              </w:tc>
              <w:tc>
                <w:tcPr>
                  <w:tcW w:w="2578" w:type="dxa"/>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527"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智能学习</w:t>
                  </w:r>
                </w:p>
              </w:tc>
              <w:tc>
                <w:tcPr>
                  <w:tcW w:w="2578" w:type="dxa"/>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527"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未知问题学习</w:t>
                  </w:r>
                </w:p>
              </w:tc>
              <w:tc>
                <w:tcPr>
                  <w:tcW w:w="2578" w:type="dxa"/>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p>
              </w:tc>
              <w:tc>
                <w:tcPr>
                  <w:tcW w:w="1527"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知识管理</w:t>
                  </w:r>
                </w:p>
              </w:tc>
              <w:tc>
                <w:tcPr>
                  <w:tcW w:w="2578" w:type="dxa"/>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restart"/>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客户服务知识库</w:t>
                  </w:r>
                </w:p>
              </w:tc>
              <w:tc>
                <w:tcPr>
                  <w:tcW w:w="1527"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知识查询</w:t>
                  </w:r>
                </w:p>
              </w:tc>
              <w:tc>
                <w:tcPr>
                  <w:tcW w:w="2578" w:type="dxa"/>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p>
              </w:tc>
              <w:tc>
                <w:tcPr>
                  <w:tcW w:w="1527"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问题管理</w:t>
                  </w:r>
                </w:p>
              </w:tc>
              <w:tc>
                <w:tcPr>
                  <w:tcW w:w="2578" w:type="dxa"/>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160" w:type="dxa"/>
                  <w:gridSpan w:val="2"/>
                  <w:vMerge w:val="restart"/>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客户中心</w:t>
                  </w:r>
                </w:p>
              </w:tc>
              <w:tc>
                <w:tcPr>
                  <w:tcW w:w="1309" w:type="dxa"/>
                  <w:vMerge w:val="restart"/>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客户列表</w:t>
                  </w:r>
                </w:p>
              </w:tc>
              <w:tc>
                <w:tcPr>
                  <w:tcW w:w="1527"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新增客户</w:t>
                  </w:r>
                </w:p>
              </w:tc>
              <w:tc>
                <w:tcPr>
                  <w:tcW w:w="2578" w:type="dxa"/>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527"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查看客户信息</w:t>
                  </w:r>
                </w:p>
              </w:tc>
              <w:tc>
                <w:tcPr>
                  <w:tcW w:w="2578" w:type="dxa"/>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527"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编辑客户信息</w:t>
                  </w:r>
                </w:p>
              </w:tc>
              <w:tc>
                <w:tcPr>
                  <w:tcW w:w="2578" w:type="dxa"/>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restart"/>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公司列表</w:t>
                  </w:r>
                </w:p>
              </w:tc>
              <w:tc>
                <w:tcPr>
                  <w:tcW w:w="1527"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删除客户信息</w:t>
                  </w:r>
                </w:p>
              </w:tc>
              <w:tc>
                <w:tcPr>
                  <w:tcW w:w="2578" w:type="dxa"/>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p>
              </w:tc>
              <w:tc>
                <w:tcPr>
                  <w:tcW w:w="1527"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新增公司</w:t>
                  </w:r>
                </w:p>
              </w:tc>
              <w:tc>
                <w:tcPr>
                  <w:tcW w:w="2578" w:type="dxa"/>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527"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查询公司</w:t>
                  </w:r>
                </w:p>
              </w:tc>
              <w:tc>
                <w:tcPr>
                  <w:tcW w:w="2578" w:type="dxa"/>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160" w:type="dxa"/>
                  <w:gridSpan w:val="2"/>
                  <w:vMerge w:val="restart"/>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开放接口</w:t>
                  </w:r>
                </w:p>
              </w:tc>
              <w:tc>
                <w:tcPr>
                  <w:tcW w:w="1309" w:type="dxa"/>
                  <w:vMerge w:val="restart"/>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业务接口</w:t>
                  </w:r>
                </w:p>
              </w:tc>
              <w:tc>
                <w:tcPr>
                  <w:tcW w:w="1527"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编辑公司信息</w:t>
                  </w:r>
                </w:p>
              </w:tc>
              <w:tc>
                <w:tcPr>
                  <w:tcW w:w="2578" w:type="dxa"/>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527"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删除公司信息</w:t>
                  </w:r>
                </w:p>
              </w:tc>
              <w:tc>
                <w:tcPr>
                  <w:tcW w:w="2578" w:type="dxa"/>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160" w:type="dxa"/>
                  <w:gridSpan w:val="2"/>
                  <w:vMerge w:val="continue"/>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p>
              </w:tc>
              <w:tc>
                <w:tcPr>
                  <w:tcW w:w="1527"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平台企业列表查询</w:t>
                  </w:r>
                </w:p>
              </w:tc>
              <w:tc>
                <w:tcPr>
                  <w:tcW w:w="2578"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通过接口调用形式查询平台企业列表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527"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添加企业</w:t>
                  </w:r>
                </w:p>
              </w:tc>
              <w:tc>
                <w:tcPr>
                  <w:tcW w:w="2578"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通过接口调用形式添加电商平台商户。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restart"/>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527"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平台修改企业</w:t>
                  </w:r>
                </w:p>
              </w:tc>
              <w:tc>
                <w:tcPr>
                  <w:tcW w:w="2578"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通过接口调用形式修改电商平台商户。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527"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添加客服</w:t>
                  </w:r>
                </w:p>
              </w:tc>
              <w:tc>
                <w:tcPr>
                  <w:tcW w:w="2578"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通过接口调用形式添加客服。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527"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编辑客服</w:t>
                  </w:r>
                </w:p>
              </w:tc>
              <w:tc>
                <w:tcPr>
                  <w:tcW w:w="2578"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通过接口调用形式编辑客服。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527"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删除客服</w:t>
                  </w:r>
                </w:p>
              </w:tc>
              <w:tc>
                <w:tcPr>
                  <w:tcW w:w="2578"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通过接口形式删除客服。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160" w:type="dxa"/>
                  <w:gridSpan w:val="2"/>
                  <w:vMerge w:val="restart"/>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restart"/>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数据接口</w:t>
                  </w:r>
                </w:p>
              </w:tc>
              <w:tc>
                <w:tcPr>
                  <w:tcW w:w="1527"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客服会话统计查询接口</w:t>
                  </w:r>
                </w:p>
              </w:tc>
              <w:tc>
                <w:tcPr>
                  <w:tcW w:w="2578"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获取平台下的所有商户的所有客服会话统计。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527"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客服响应时间统计查询接口</w:t>
                  </w:r>
                </w:p>
              </w:tc>
              <w:tc>
                <w:tcPr>
                  <w:tcW w:w="2578"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获取平台下的所有商户的所有客服响应时间。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527"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批量获取所有子商户appKey信息查询</w:t>
                  </w:r>
                </w:p>
              </w:tc>
              <w:tc>
                <w:tcPr>
                  <w:tcW w:w="2578"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获取平台下所有子商户的appKey和appId。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527"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客服状态明细接口</w:t>
                  </w:r>
                </w:p>
              </w:tc>
              <w:tc>
                <w:tcPr>
                  <w:tcW w:w="2578"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通过接口获取客服明细状态列表。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527"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商户聊天列表</w:t>
                  </w:r>
                </w:p>
              </w:tc>
              <w:tc>
                <w:tcPr>
                  <w:tcW w:w="2578"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获取客户的商户列表信息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527"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客服统计接口</w:t>
                  </w:r>
                </w:p>
              </w:tc>
              <w:tc>
                <w:tcPr>
                  <w:tcW w:w="2578"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获取指定时间范围内平台所有商户的客服统计指标。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restart"/>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统计接口</w:t>
                  </w:r>
                </w:p>
              </w:tc>
              <w:tc>
                <w:tcPr>
                  <w:tcW w:w="1527"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机器人会话统计接口</w:t>
                  </w:r>
                </w:p>
              </w:tc>
              <w:tc>
                <w:tcPr>
                  <w:tcW w:w="2578"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可通过调用该接口来获取机器人会话概览统计结果。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527"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机器人满意度评价统计</w:t>
                  </w:r>
                </w:p>
              </w:tc>
              <w:tc>
                <w:tcPr>
                  <w:tcW w:w="2578"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可通过调用该接口来获取机器人满意度评价统计结果。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527"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人工会话统计</w:t>
                  </w:r>
                </w:p>
              </w:tc>
              <w:tc>
                <w:tcPr>
                  <w:tcW w:w="2578"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可通过调用该接口来获取人工会话概览统计结果。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527"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人工满意度评价统计</w:t>
                  </w:r>
                </w:p>
              </w:tc>
              <w:tc>
                <w:tcPr>
                  <w:tcW w:w="2578"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可通过调用该接口来获取人工满意度评价统计结果。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527"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客户会话统计</w:t>
                  </w:r>
                </w:p>
              </w:tc>
              <w:tc>
                <w:tcPr>
                  <w:tcW w:w="2578"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可通过调用该接口来获取客户会话概览统计结果。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527"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会话消息统计</w:t>
                  </w:r>
                </w:p>
              </w:tc>
              <w:tc>
                <w:tcPr>
                  <w:tcW w:w="2578"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可通过调用该接口来获取会话消息统计结果。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restart"/>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消息转发接口</w:t>
                  </w:r>
                </w:p>
              </w:tc>
              <w:tc>
                <w:tcPr>
                  <w:tcW w:w="1527"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获取在线质检结果</w:t>
                  </w:r>
                </w:p>
              </w:tc>
              <w:tc>
                <w:tcPr>
                  <w:tcW w:w="2578"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获取在线质检结果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527"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离线数据文件下载接口</w:t>
                  </w:r>
                </w:p>
              </w:tc>
              <w:tc>
                <w:tcPr>
                  <w:tcW w:w="2578"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可通过调用该接口来获取各个业务模块的原始数据，可用于企业对数据归档或做数据分析等。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5"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527"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订单统计推送接口</w:t>
                  </w:r>
                </w:p>
              </w:tc>
              <w:tc>
                <w:tcPr>
                  <w:tcW w:w="2578"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客服订单推送接口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527"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客服统计</w:t>
                  </w:r>
                </w:p>
              </w:tc>
              <w:tc>
                <w:tcPr>
                  <w:tcW w:w="2578"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可通过调用该接口来获取客服统计数据。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527"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客服登录时长统计</w:t>
                  </w:r>
                </w:p>
              </w:tc>
              <w:tc>
                <w:tcPr>
                  <w:tcW w:w="2578"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可通过调用该接口来获取客服登录时长数据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p>
              </w:tc>
              <w:tc>
                <w:tcPr>
                  <w:tcW w:w="1527"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在线会话消息</w:t>
                  </w:r>
                </w:p>
              </w:tc>
              <w:tc>
                <w:tcPr>
                  <w:tcW w:w="2578"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可通过该接口获取明细会话数据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527"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在线评价信息</w:t>
                  </w:r>
                </w:p>
              </w:tc>
              <w:tc>
                <w:tcPr>
                  <w:tcW w:w="2578"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可通过该接口获取明细评价数据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5"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527"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在线访客信息</w:t>
                  </w:r>
                </w:p>
              </w:tc>
              <w:tc>
                <w:tcPr>
                  <w:tcW w:w="2578"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可通过该接口获取明细访客数据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527"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在线客户信息</w:t>
                  </w:r>
                </w:p>
              </w:tc>
              <w:tc>
                <w:tcPr>
                  <w:tcW w:w="2578"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可通过该接口获取明细客户数据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0"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527"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在线聊天信息</w:t>
                  </w:r>
                </w:p>
              </w:tc>
              <w:tc>
                <w:tcPr>
                  <w:tcW w:w="2578"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可通过该接口获取明细聊天数据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5"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527"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在线服务总结</w:t>
                  </w:r>
                </w:p>
              </w:tc>
              <w:tc>
                <w:tcPr>
                  <w:tcW w:w="2578"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可通过该接口获取明细服务总结数据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55"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restart"/>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客户中心接口</w:t>
                  </w:r>
                </w:p>
              </w:tc>
              <w:tc>
                <w:tcPr>
                  <w:tcW w:w="1527"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消息转发加密</w:t>
                  </w:r>
                </w:p>
              </w:tc>
              <w:tc>
                <w:tcPr>
                  <w:tcW w:w="2578"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该方案基于在线用户消息和在线访客消息接口数据，提供content字段的加密。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5"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p>
              </w:tc>
              <w:tc>
                <w:tcPr>
                  <w:tcW w:w="1527"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创建客户信息</w:t>
                  </w:r>
                </w:p>
              </w:tc>
              <w:tc>
                <w:tcPr>
                  <w:tcW w:w="2578"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可通过该接口来创建客户。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5"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527"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编辑客户信息</w:t>
                  </w:r>
                </w:p>
              </w:tc>
              <w:tc>
                <w:tcPr>
                  <w:tcW w:w="2578"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可通过该接口编辑客户信息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527"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根据邮箱查询客户信息</w:t>
                  </w:r>
                </w:p>
              </w:tc>
              <w:tc>
                <w:tcPr>
                  <w:tcW w:w="2578"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可通过该接口根据邮箱查询客户信息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5"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527"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根据手机号查询客户信息</w:t>
                  </w:r>
                </w:p>
              </w:tc>
              <w:tc>
                <w:tcPr>
                  <w:tcW w:w="2578"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可通过该接口根据手机号查询客户信息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5"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527"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根据客户ID查询客户信息</w:t>
                  </w:r>
                </w:p>
              </w:tc>
              <w:tc>
                <w:tcPr>
                  <w:tcW w:w="2578"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可通过该接口根据客户ID查询客户信息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0"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527"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根据对接ID查询客户信息</w:t>
                  </w:r>
                </w:p>
              </w:tc>
              <w:tc>
                <w:tcPr>
                  <w:tcW w:w="2578"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可通过对接ID查询客户信息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restart"/>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客服管理接口</w:t>
                  </w:r>
                </w:p>
              </w:tc>
              <w:tc>
                <w:tcPr>
                  <w:tcW w:w="1527"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查询客户列表</w:t>
                  </w:r>
                </w:p>
              </w:tc>
              <w:tc>
                <w:tcPr>
                  <w:tcW w:w="2578"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可通过该接口查询客户列表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5"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527"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查询客户自定义字段信息</w:t>
                  </w:r>
                </w:p>
              </w:tc>
              <w:tc>
                <w:tcPr>
                  <w:tcW w:w="2578"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可通过该接口来查询客户自定义字段配置信息。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5"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527"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查询自定义字段值</w:t>
                  </w:r>
                </w:p>
              </w:tc>
              <w:tc>
                <w:tcPr>
                  <w:tcW w:w="2578"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可通过该接口查询自定义字段值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5"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527"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查询客户固定字段信息</w:t>
                  </w:r>
                </w:p>
              </w:tc>
              <w:tc>
                <w:tcPr>
                  <w:tcW w:w="2578"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可通过该接口查询客户固定字段配置信息，例如，VIP级别。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5"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527"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查询客户中心企业列表</w:t>
                  </w:r>
                </w:p>
              </w:tc>
              <w:tc>
                <w:tcPr>
                  <w:tcW w:w="2578"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可通过该接口查询客户中心的企业列表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527"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客户批量上传接口</w:t>
                  </w:r>
                </w:p>
              </w:tc>
              <w:tc>
                <w:tcPr>
                  <w:tcW w:w="2578"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可通过该接口进行客户批量上传操作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527"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修改企业信息接口</w:t>
                  </w:r>
                </w:p>
              </w:tc>
              <w:tc>
                <w:tcPr>
                  <w:tcW w:w="2578"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可通过该接口修改企业名称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5"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p>
              </w:tc>
              <w:tc>
                <w:tcPr>
                  <w:tcW w:w="1527"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查询坐席角色</w:t>
                  </w:r>
                </w:p>
              </w:tc>
              <w:tc>
                <w:tcPr>
                  <w:tcW w:w="2578"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获取系统中添加客服所需的角色信息。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0"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527"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查询组织结构</w:t>
                  </w:r>
                </w:p>
              </w:tc>
              <w:tc>
                <w:tcPr>
                  <w:tcW w:w="2578"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获取系统中添加客服所需的组织结构信息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5"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527"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查询技能组</w:t>
                  </w:r>
                </w:p>
              </w:tc>
              <w:tc>
                <w:tcPr>
                  <w:tcW w:w="2578"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获取所属公司技能组信息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0"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527"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新增技能组</w:t>
                  </w:r>
                </w:p>
              </w:tc>
              <w:tc>
                <w:tcPr>
                  <w:tcW w:w="2578"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新增所属公司技能组信息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5"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527"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更新技能组</w:t>
                  </w:r>
                </w:p>
              </w:tc>
              <w:tc>
                <w:tcPr>
                  <w:tcW w:w="2578"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更新所属公司技能组信息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527"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删除技能组</w:t>
                  </w:r>
                </w:p>
              </w:tc>
              <w:tc>
                <w:tcPr>
                  <w:tcW w:w="2578"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删除所属公司技能组信息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0"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restart"/>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527"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增加坐席至技能组</w:t>
                  </w:r>
                </w:p>
              </w:tc>
              <w:tc>
                <w:tcPr>
                  <w:tcW w:w="2578"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增加坐席到技能组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5"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527"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删除技能组内坐席</w:t>
                  </w:r>
                </w:p>
              </w:tc>
              <w:tc>
                <w:tcPr>
                  <w:tcW w:w="2578"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删除技能组内坐席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527"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查询技能组内坐席</w:t>
                  </w:r>
                </w:p>
              </w:tc>
              <w:tc>
                <w:tcPr>
                  <w:tcW w:w="2578"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查询技能组内坐席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527"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查询坐席列表</w:t>
                  </w:r>
                </w:p>
              </w:tc>
              <w:tc>
                <w:tcPr>
                  <w:tcW w:w="2578"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查询所属公司所有客服信息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527"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新增坐席信息</w:t>
                  </w:r>
                </w:p>
              </w:tc>
              <w:tc>
                <w:tcPr>
                  <w:tcW w:w="2578"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新增客服信息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527"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更新坐席信息</w:t>
                  </w:r>
                </w:p>
              </w:tc>
              <w:tc>
                <w:tcPr>
                  <w:tcW w:w="2578"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更新客服信息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527"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删除坐席信息</w:t>
                  </w:r>
                </w:p>
              </w:tc>
              <w:tc>
                <w:tcPr>
                  <w:tcW w:w="2578"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删除客服信息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0" w:hRule="atLeast"/>
              </w:trPr>
              <w:tc>
                <w:tcPr>
                  <w:tcW w:w="1160" w:type="dxa"/>
                  <w:gridSpan w:val="2"/>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30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default" w:ascii="仿宋_GB2312" w:hAnsi="仿宋_GB2312" w:eastAsia="仿宋_GB2312" w:cs="仿宋_GB2312"/>
                      <w:i w:val="0"/>
                      <w:iCs w:val="0"/>
                      <w:color w:val="000000"/>
                      <w:sz w:val="20"/>
                      <w:szCs w:val="20"/>
                      <w:u w:val="none"/>
                    </w:rPr>
                  </w:pPr>
                </w:p>
              </w:tc>
              <w:tc>
                <w:tcPr>
                  <w:tcW w:w="1527"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批量创建坐席</w:t>
                  </w:r>
                </w:p>
              </w:tc>
              <w:tc>
                <w:tcPr>
                  <w:tcW w:w="2578"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批量创建坐席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7" w:type="dxa"/>
                <w:trHeight w:val="424" w:hRule="atLeast"/>
              </w:trPr>
              <w:tc>
                <w:tcPr>
                  <w:tcW w:w="6437" w:type="dxa"/>
                  <w:gridSpan w:val="4"/>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b/>
                      <w:bCs/>
                      <w:color w:val="000000"/>
                      <w:sz w:val="20"/>
                      <w:szCs w:val="20"/>
                      <w:lang w:val="en-US" w:eastAsia="zh-CN"/>
                    </w:rPr>
                    <w:t>3.工单中心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7" w:type="dxa"/>
                <w:trHeight w:val="339" w:hRule="atLeast"/>
              </w:trPr>
              <w:tc>
                <w:tcPr>
                  <w:tcW w:w="2332" w:type="dxa"/>
                  <w:gridSpan w:val="2"/>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0"/>
                      <w:szCs w:val="20"/>
                      <w:u w:val="none"/>
                      <w:lang w:val="en-US" w:eastAsia="zh-CN" w:bidi="ar"/>
                    </w:rPr>
                  </w:pPr>
                  <w:r>
                    <w:rPr>
                      <w:rFonts w:hint="eastAsia" w:ascii="仿宋_GB2312" w:hAnsi="仿宋_GB2312" w:eastAsia="仿宋_GB2312" w:cs="仿宋_GB2312"/>
                      <w:color w:val="000000"/>
                      <w:kern w:val="0"/>
                      <w:sz w:val="20"/>
                      <w:szCs w:val="20"/>
                      <w:u w:val="none"/>
                      <w:lang w:bidi="ar"/>
                    </w:rPr>
                    <w:t>功能类别</w:t>
                  </w: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0"/>
                      <w:szCs w:val="20"/>
                      <w:u w:val="none"/>
                      <w:lang w:val="en-US" w:eastAsia="zh-CN" w:bidi="ar"/>
                    </w:rPr>
                  </w:pPr>
                  <w:r>
                    <w:rPr>
                      <w:rFonts w:hint="eastAsia" w:ascii="仿宋_GB2312" w:hAnsi="仿宋_GB2312" w:eastAsia="仿宋_GB2312" w:cs="仿宋_GB2312"/>
                      <w:color w:val="000000"/>
                      <w:kern w:val="0"/>
                      <w:sz w:val="20"/>
                      <w:szCs w:val="20"/>
                      <w:u w:val="none"/>
                      <w:lang w:bidi="ar"/>
                    </w:rPr>
                    <w:t>功能点</w:t>
                  </w:r>
                </w:p>
              </w:tc>
              <w:tc>
                <w:tcPr>
                  <w:tcW w:w="257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0"/>
                      <w:szCs w:val="20"/>
                      <w:u w:val="none"/>
                      <w:lang w:val="en-US" w:eastAsia="zh-CN" w:bidi="ar"/>
                    </w:rPr>
                  </w:pPr>
                  <w:r>
                    <w:rPr>
                      <w:rFonts w:hint="eastAsia" w:ascii="仿宋_GB2312" w:hAnsi="仿宋_GB2312" w:eastAsia="仿宋_GB2312" w:cs="仿宋_GB2312"/>
                      <w:color w:val="000000"/>
                      <w:kern w:val="0"/>
                      <w:sz w:val="20"/>
                      <w:szCs w:val="20"/>
                      <w:u w:val="none"/>
                      <w:lang w:bidi="ar"/>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7" w:type="dxa"/>
                <w:trHeight w:val="689" w:hRule="atLeast"/>
              </w:trPr>
              <w:tc>
                <w:tcPr>
                  <w:tcW w:w="1023" w:type="dxa"/>
                  <w:vMerge w:val="restart"/>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0"/>
                      <w:szCs w:val="20"/>
                      <w:u w:val="none"/>
                      <w:lang w:bidi="ar"/>
                    </w:rPr>
                  </w:pPr>
                </w:p>
              </w:tc>
              <w:tc>
                <w:tcPr>
                  <w:tcW w:w="1309" w:type="dxa"/>
                  <w:vMerge w:val="restart"/>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0"/>
                      <w:szCs w:val="20"/>
                      <w:u w:val="none"/>
                      <w:lang w:bidi="ar"/>
                    </w:rPr>
                  </w:pPr>
                  <w:r>
                    <w:rPr>
                      <w:rFonts w:hint="eastAsia" w:ascii="仿宋_GB2312" w:hAnsi="仿宋_GB2312" w:eastAsia="仿宋_GB2312" w:cs="仿宋_GB2312"/>
                      <w:color w:val="000000"/>
                      <w:kern w:val="0"/>
                      <w:sz w:val="20"/>
                      <w:szCs w:val="20"/>
                      <w:u w:val="none"/>
                      <w:lang w:bidi="ar"/>
                    </w:rPr>
                    <w:t>工单插件创建工单</w:t>
                  </w: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0"/>
                      <w:szCs w:val="20"/>
                      <w:u w:val="none"/>
                      <w:lang w:bidi="ar"/>
                    </w:rPr>
                  </w:pPr>
                  <w:r>
                    <w:rPr>
                      <w:rFonts w:hint="eastAsia" w:ascii="仿宋_GB2312" w:hAnsi="仿宋_GB2312" w:eastAsia="仿宋_GB2312" w:cs="仿宋_GB2312"/>
                      <w:color w:val="000000"/>
                      <w:kern w:val="0"/>
                      <w:sz w:val="20"/>
                      <w:szCs w:val="20"/>
                      <w:u w:val="none"/>
                      <w:lang w:bidi="ar"/>
                    </w:rPr>
                    <w:t>支持在网页中嵌入工单插件，客户点击填写表单，提交后自动创建工单</w:t>
                  </w:r>
                </w:p>
              </w:tc>
              <w:tc>
                <w:tcPr>
                  <w:tcW w:w="2578" w:type="dxa"/>
                  <w:vMerge w:val="restart"/>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0"/>
                      <w:szCs w:val="20"/>
                      <w:u w:val="none"/>
                      <w:lang w:eastAsia="zh-CN" w:bidi="ar"/>
                    </w:rPr>
                  </w:pPr>
                  <w:r>
                    <w:rPr>
                      <w:rFonts w:hint="eastAsia" w:ascii="仿宋_GB2312" w:hAnsi="仿宋_GB2312" w:eastAsia="仿宋_GB2312" w:cs="仿宋_GB2312"/>
                      <w:color w:val="000000"/>
                      <w:kern w:val="0"/>
                      <w:sz w:val="20"/>
                      <w:szCs w:val="20"/>
                      <w:u w:val="none"/>
                      <w:lang w:bidi="ar"/>
                    </w:rPr>
                    <w:t>适合用于明确需要后续流程的业务，如“退换货”、“故障报修”等业务，可以与机器人答案进行绑定设置，也可以将其绑定到内网OA或微信公众号等；</w:t>
                  </w:r>
                </w:p>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0"/>
                      <w:szCs w:val="20"/>
                      <w:u w:val="none"/>
                      <w:lang w:bidi="ar"/>
                    </w:rPr>
                  </w:pPr>
                  <w:r>
                    <w:rPr>
                      <w:rFonts w:hint="eastAsia" w:ascii="仿宋_GB2312" w:hAnsi="仿宋_GB2312" w:eastAsia="仿宋_GB2312" w:cs="仿宋_GB2312"/>
                      <w:color w:val="000000"/>
                      <w:kern w:val="0"/>
                      <w:sz w:val="20"/>
                      <w:szCs w:val="20"/>
                      <w:u w:val="none"/>
                      <w:lang w:bidi="ar"/>
                    </w:rPr>
                    <w:t>支持客户原渠道提交、查看、回复、评价等操作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7" w:type="dxa"/>
                <w:trHeight w:val="652" w:hRule="atLeast"/>
              </w:trPr>
              <w:tc>
                <w:tcPr>
                  <w:tcW w:w="1023"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可自定义创建工单使用的留言模板</w:t>
                  </w:r>
                </w:p>
              </w:tc>
              <w:tc>
                <w:tcPr>
                  <w:tcW w:w="2578"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7" w:type="dxa"/>
                <w:trHeight w:val="652" w:hRule="atLeast"/>
              </w:trPr>
              <w:tc>
                <w:tcPr>
                  <w:tcW w:w="1023"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支持原渠道查看留言列表的设置</w:t>
                  </w:r>
                </w:p>
              </w:tc>
              <w:tc>
                <w:tcPr>
                  <w:tcW w:w="2578"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7" w:type="dxa"/>
                <w:trHeight w:val="652" w:hRule="atLeast"/>
              </w:trPr>
              <w:tc>
                <w:tcPr>
                  <w:tcW w:w="1023"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支持客户原渠道回复的设置</w:t>
                  </w:r>
                </w:p>
              </w:tc>
              <w:tc>
                <w:tcPr>
                  <w:tcW w:w="2578"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7" w:type="dxa"/>
                <w:trHeight w:val="652" w:hRule="atLeast"/>
              </w:trPr>
              <w:tc>
                <w:tcPr>
                  <w:tcW w:w="1023"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支持客户原渠道进行满意度评价</w:t>
                  </w:r>
                </w:p>
              </w:tc>
              <w:tc>
                <w:tcPr>
                  <w:tcW w:w="2578"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7" w:type="dxa"/>
                <w:trHeight w:val="652" w:hRule="atLeast"/>
              </w:trPr>
              <w:tc>
                <w:tcPr>
                  <w:tcW w:w="1023"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支持中英文及颜色样式设置</w:t>
                  </w:r>
                </w:p>
              </w:tc>
              <w:tc>
                <w:tcPr>
                  <w:tcW w:w="2578"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7" w:type="dxa"/>
                <w:trHeight w:val="790" w:hRule="atLeast"/>
              </w:trPr>
              <w:tc>
                <w:tcPr>
                  <w:tcW w:w="1023"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支持客户查看范围设置（1个月、3个月、12个月）</w:t>
                  </w:r>
                </w:p>
              </w:tc>
              <w:tc>
                <w:tcPr>
                  <w:tcW w:w="2578"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7" w:type="dxa"/>
                <w:trHeight w:val="652" w:hRule="atLeast"/>
              </w:trPr>
              <w:tc>
                <w:tcPr>
                  <w:tcW w:w="1023"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支持客户回复范围设置</w:t>
                  </w:r>
                </w:p>
              </w:tc>
              <w:tc>
                <w:tcPr>
                  <w:tcW w:w="2578"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7" w:type="dxa"/>
                <w:trHeight w:val="652" w:hRule="atLeast"/>
              </w:trPr>
              <w:tc>
                <w:tcPr>
                  <w:tcW w:w="1023"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支持在线客服快捷答复设置</w:t>
                  </w:r>
                </w:p>
              </w:tc>
              <w:tc>
                <w:tcPr>
                  <w:tcW w:w="2578"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7" w:type="dxa"/>
                <w:trHeight w:val="652" w:hRule="atLeast"/>
              </w:trPr>
              <w:tc>
                <w:tcPr>
                  <w:tcW w:w="1023"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支持与机器人答案绑定设置</w:t>
                  </w:r>
                </w:p>
              </w:tc>
              <w:tc>
                <w:tcPr>
                  <w:tcW w:w="2578"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7" w:type="dxa"/>
                <w:trHeight w:val="857" w:hRule="atLeast"/>
              </w:trPr>
              <w:tc>
                <w:tcPr>
                  <w:tcW w:w="1023" w:type="dxa"/>
                  <w:vMerge w:val="restar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留言创建工单</w:t>
                  </w: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支持客户通过IM即时通讯留言创建工单</w:t>
                  </w:r>
                </w:p>
              </w:tc>
              <w:tc>
                <w:tcPr>
                  <w:tcW w:w="257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客服不在线时，允许客户原渠道查看、服务评价，不允许客户回复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7" w:type="dxa"/>
                <w:trHeight w:val="756" w:hRule="atLeast"/>
              </w:trPr>
              <w:tc>
                <w:tcPr>
                  <w:tcW w:w="1023"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支持客户通过呼叫中心语音留言创建工单</w:t>
                  </w:r>
                </w:p>
              </w:tc>
              <w:tc>
                <w:tcPr>
                  <w:tcW w:w="257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无人工客服时，可以留言转工单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7" w:type="dxa"/>
                <w:trHeight w:val="1293" w:hRule="atLeast"/>
              </w:trPr>
              <w:tc>
                <w:tcPr>
                  <w:tcW w:w="1023"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微信创建工单</w:t>
                  </w: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支持客户通过微信小程序渠道创建工单、查看工单进度</w:t>
                  </w:r>
                </w:p>
              </w:tc>
              <w:tc>
                <w:tcPr>
                  <w:tcW w:w="2578" w:type="dxa"/>
                  <w:vMerge w:val="restart"/>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客服不在线时，允许客户原渠道查看、服务评价，不允许客户回复；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7" w:type="dxa"/>
                <w:trHeight w:val="1293" w:hRule="atLeast"/>
              </w:trPr>
              <w:tc>
                <w:tcPr>
                  <w:tcW w:w="1023"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支持客户通过企业微信渠道创建工单、查看工单进度</w:t>
                  </w:r>
                </w:p>
              </w:tc>
              <w:tc>
                <w:tcPr>
                  <w:tcW w:w="2578"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7" w:type="dxa"/>
                <w:trHeight w:val="652" w:hRule="atLeast"/>
              </w:trPr>
              <w:tc>
                <w:tcPr>
                  <w:tcW w:w="1023"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支持客户通过微信渠道创建工单、查看工单进度</w:t>
                  </w:r>
                </w:p>
              </w:tc>
              <w:tc>
                <w:tcPr>
                  <w:tcW w:w="2578"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7" w:type="dxa"/>
                <w:trHeight w:val="652" w:hRule="atLeast"/>
              </w:trPr>
              <w:tc>
                <w:tcPr>
                  <w:tcW w:w="1023"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SDK创建工单</w:t>
                  </w: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支持在APP中，单独入口提交后自动创建工单</w:t>
                  </w:r>
                </w:p>
              </w:tc>
              <w:tc>
                <w:tcPr>
                  <w:tcW w:w="2578" w:type="dxa"/>
                  <w:vMerge w:val="restart"/>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7" w:type="dxa"/>
                <w:trHeight w:val="652" w:hRule="atLeast"/>
              </w:trPr>
              <w:tc>
                <w:tcPr>
                  <w:tcW w:w="1023"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可自定义创建工单使用的留言模板</w:t>
                  </w:r>
                </w:p>
              </w:tc>
              <w:tc>
                <w:tcPr>
                  <w:tcW w:w="2578"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7" w:type="dxa"/>
                <w:trHeight w:val="652" w:hRule="atLeast"/>
              </w:trPr>
              <w:tc>
                <w:tcPr>
                  <w:tcW w:w="1023"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支持原渠道查看留言列表的设置</w:t>
                  </w:r>
                </w:p>
              </w:tc>
              <w:tc>
                <w:tcPr>
                  <w:tcW w:w="2578"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7" w:type="dxa"/>
                <w:trHeight w:val="652" w:hRule="atLeast"/>
              </w:trPr>
              <w:tc>
                <w:tcPr>
                  <w:tcW w:w="1023"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支持客户原渠道回复的设置</w:t>
                  </w:r>
                </w:p>
              </w:tc>
              <w:tc>
                <w:tcPr>
                  <w:tcW w:w="2578"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7" w:type="dxa"/>
                <w:trHeight w:val="652" w:hRule="atLeast"/>
              </w:trPr>
              <w:tc>
                <w:tcPr>
                  <w:tcW w:w="1023"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支持客户原渠道进行满意度评价</w:t>
                  </w:r>
                </w:p>
              </w:tc>
              <w:tc>
                <w:tcPr>
                  <w:tcW w:w="2578"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7" w:type="dxa"/>
                <w:trHeight w:val="652" w:hRule="atLeast"/>
              </w:trPr>
              <w:tc>
                <w:tcPr>
                  <w:tcW w:w="1023"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支持中英文、繁体字、阿拉伯语及颜色样式设置</w:t>
                  </w:r>
                </w:p>
              </w:tc>
              <w:tc>
                <w:tcPr>
                  <w:tcW w:w="2578"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7" w:type="dxa"/>
                <w:trHeight w:val="652" w:hRule="atLeast"/>
              </w:trPr>
              <w:tc>
                <w:tcPr>
                  <w:tcW w:w="1023"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支持客户回复范围设置</w:t>
                  </w:r>
                </w:p>
              </w:tc>
              <w:tc>
                <w:tcPr>
                  <w:tcW w:w="2578"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7" w:type="dxa"/>
                <w:trHeight w:val="652" w:hRule="atLeast"/>
              </w:trPr>
              <w:tc>
                <w:tcPr>
                  <w:tcW w:w="1023"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邮件渠道</w:t>
                  </w: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支持客户发送邮件至支持邮箱自动生成工单</w:t>
                  </w:r>
                </w:p>
              </w:tc>
              <w:tc>
                <w:tcPr>
                  <w:tcW w:w="2578" w:type="dxa"/>
                  <w:vMerge w:val="restart"/>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可以设置转发规则，系统收到相关邮件后，根据设置自动生成工单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7" w:type="dxa"/>
                <w:trHeight w:val="652" w:hRule="atLeast"/>
              </w:trPr>
              <w:tc>
                <w:tcPr>
                  <w:tcW w:w="1023"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支持设置自定义支持邮箱</w:t>
                  </w:r>
                </w:p>
              </w:tc>
              <w:tc>
                <w:tcPr>
                  <w:tcW w:w="2578"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7" w:type="dxa"/>
                <w:trHeight w:val="652" w:hRule="atLeast"/>
              </w:trPr>
              <w:tc>
                <w:tcPr>
                  <w:tcW w:w="1023"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支持设置多个支持邮箱</w:t>
                  </w:r>
                </w:p>
              </w:tc>
              <w:tc>
                <w:tcPr>
                  <w:tcW w:w="2578"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7" w:type="dxa"/>
                <w:trHeight w:val="652" w:hRule="atLeast"/>
              </w:trPr>
              <w:tc>
                <w:tcPr>
                  <w:tcW w:w="1023"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支持设置默认回复邮箱</w:t>
                  </w:r>
                </w:p>
              </w:tc>
              <w:tc>
                <w:tcPr>
                  <w:tcW w:w="2578"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7" w:type="dxa"/>
                <w:trHeight w:val="652" w:hRule="atLeast"/>
              </w:trPr>
              <w:tc>
                <w:tcPr>
                  <w:tcW w:w="1023"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客服回复工单可自动发送邮件至客户邮箱</w:t>
                  </w:r>
                </w:p>
              </w:tc>
              <w:tc>
                <w:tcPr>
                  <w:tcW w:w="2578"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7" w:type="dxa"/>
                <w:trHeight w:val="652" w:hRule="atLeast"/>
              </w:trPr>
              <w:tc>
                <w:tcPr>
                  <w:tcW w:w="1023"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可设置回复邮件是否显示客服名称</w:t>
                  </w:r>
                </w:p>
              </w:tc>
              <w:tc>
                <w:tcPr>
                  <w:tcW w:w="2578"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7" w:type="dxa"/>
                <w:trHeight w:val="652" w:hRule="atLeast"/>
              </w:trPr>
              <w:tc>
                <w:tcPr>
                  <w:tcW w:w="1023"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自定义显示客服昵称还是名称</w:t>
                  </w:r>
                </w:p>
              </w:tc>
              <w:tc>
                <w:tcPr>
                  <w:tcW w:w="2578"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7" w:type="dxa"/>
                <w:trHeight w:val="652" w:hRule="atLeast"/>
              </w:trPr>
              <w:tc>
                <w:tcPr>
                  <w:tcW w:w="1023"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可设置回复邮件知否显示头图</w:t>
                  </w:r>
                </w:p>
              </w:tc>
              <w:tc>
                <w:tcPr>
                  <w:tcW w:w="2578"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7" w:type="dxa"/>
                <w:trHeight w:val="652" w:hRule="atLeast"/>
              </w:trPr>
              <w:tc>
                <w:tcPr>
                  <w:tcW w:w="1023"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可设置回复客户的邮件模版设置</w:t>
                  </w:r>
                </w:p>
              </w:tc>
              <w:tc>
                <w:tcPr>
                  <w:tcW w:w="2578"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7" w:type="dxa"/>
                <w:trHeight w:val="652" w:hRule="atLeast"/>
              </w:trPr>
              <w:tc>
                <w:tcPr>
                  <w:tcW w:w="1023"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可设置回复客户邮件主题</w:t>
                  </w:r>
                </w:p>
              </w:tc>
              <w:tc>
                <w:tcPr>
                  <w:tcW w:w="2578"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7" w:type="dxa"/>
                <w:trHeight w:val="652" w:hRule="atLeast"/>
              </w:trPr>
              <w:tc>
                <w:tcPr>
                  <w:tcW w:w="1023"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可设置回复客户邮件签名</w:t>
                  </w:r>
                </w:p>
              </w:tc>
              <w:tc>
                <w:tcPr>
                  <w:tcW w:w="2578"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7" w:type="dxa"/>
                <w:trHeight w:val="652" w:hRule="atLeast"/>
              </w:trPr>
              <w:tc>
                <w:tcPr>
                  <w:tcW w:w="1023"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手工创建工单</w:t>
                  </w: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支持客服在工单工作台手动创建工单</w:t>
                  </w:r>
                </w:p>
              </w:tc>
              <w:tc>
                <w:tcPr>
                  <w:tcW w:w="2578" w:type="dxa"/>
                  <w:vMerge w:val="restart"/>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7" w:type="dxa"/>
                <w:trHeight w:val="652" w:hRule="atLeast"/>
              </w:trPr>
              <w:tc>
                <w:tcPr>
                  <w:tcW w:w="1023"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支持客服在工单工作台批量导入工单</w:t>
                  </w:r>
                </w:p>
              </w:tc>
              <w:tc>
                <w:tcPr>
                  <w:tcW w:w="2578"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7" w:type="dxa"/>
                <w:trHeight w:val="652" w:hRule="atLeast"/>
              </w:trPr>
              <w:tc>
                <w:tcPr>
                  <w:tcW w:w="1023"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支持客服在IM工作台快速创建工单</w:t>
                  </w:r>
                </w:p>
              </w:tc>
              <w:tc>
                <w:tcPr>
                  <w:tcW w:w="2578"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7" w:type="dxa"/>
                <w:trHeight w:val="652" w:hRule="atLeast"/>
              </w:trPr>
              <w:tc>
                <w:tcPr>
                  <w:tcW w:w="1023"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支持客服在呼叫中心弹屏快速创建工单</w:t>
                  </w:r>
                </w:p>
              </w:tc>
              <w:tc>
                <w:tcPr>
                  <w:tcW w:w="2578"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7" w:type="dxa"/>
                <w:trHeight w:val="652" w:hRule="atLeast"/>
              </w:trPr>
              <w:tc>
                <w:tcPr>
                  <w:tcW w:w="1023"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支持客服在客户中心为客户创建工单</w:t>
                  </w:r>
                </w:p>
              </w:tc>
              <w:tc>
                <w:tcPr>
                  <w:tcW w:w="2578"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7" w:type="dxa"/>
                <w:trHeight w:val="866" w:hRule="atLeast"/>
              </w:trPr>
              <w:tc>
                <w:tcPr>
                  <w:tcW w:w="1023"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工单工作台</w:t>
                  </w:r>
                </w:p>
              </w:tc>
              <w:tc>
                <w:tcPr>
                  <w:tcW w:w="130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工单过滤器</w:t>
                  </w:r>
                </w:p>
              </w:tc>
              <w:tc>
                <w:tcPr>
                  <w:tcW w:w="1527" w:type="dxa"/>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默认过滤器，我的、我的客服组、所有工单、SLA服务</w:t>
                  </w:r>
                </w:p>
              </w:tc>
              <w:tc>
                <w:tcPr>
                  <w:tcW w:w="2578" w:type="dxa"/>
                  <w:vMerge w:val="restart"/>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工单基本功能，目前工单通知包含“消息通知、邮件通知”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7" w:type="dxa"/>
                <w:trHeight w:val="526" w:hRule="atLeast"/>
              </w:trPr>
              <w:tc>
                <w:tcPr>
                  <w:tcW w:w="1023"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工单过滤器列表</w:t>
                  </w:r>
                </w:p>
              </w:tc>
              <w:tc>
                <w:tcPr>
                  <w:tcW w:w="1527" w:type="dxa"/>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展示工单数量、支持自定义排序</w:t>
                  </w:r>
                </w:p>
              </w:tc>
              <w:tc>
                <w:tcPr>
                  <w:tcW w:w="2578"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7" w:type="dxa"/>
                <w:trHeight w:val="652" w:hRule="atLeast"/>
              </w:trPr>
              <w:tc>
                <w:tcPr>
                  <w:tcW w:w="1023"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工单展示列</w:t>
                  </w:r>
                </w:p>
              </w:tc>
              <w:tc>
                <w:tcPr>
                  <w:tcW w:w="1527" w:type="dxa"/>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支持全部工单字段自定义工单展示列</w:t>
                  </w:r>
                </w:p>
              </w:tc>
              <w:tc>
                <w:tcPr>
                  <w:tcW w:w="2578"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7" w:type="dxa"/>
                <w:trHeight w:val="652" w:hRule="atLeast"/>
              </w:trPr>
              <w:tc>
                <w:tcPr>
                  <w:tcW w:w="1023"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工单筛选</w:t>
                  </w:r>
                </w:p>
              </w:tc>
              <w:tc>
                <w:tcPr>
                  <w:tcW w:w="1527" w:type="dxa"/>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强大的工单筛选</w:t>
                  </w:r>
                </w:p>
              </w:tc>
              <w:tc>
                <w:tcPr>
                  <w:tcW w:w="2578"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7" w:type="dxa"/>
                <w:trHeight w:val="652" w:hRule="atLeast"/>
              </w:trPr>
              <w:tc>
                <w:tcPr>
                  <w:tcW w:w="1023"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工单排序</w:t>
                  </w:r>
                </w:p>
              </w:tc>
              <w:tc>
                <w:tcPr>
                  <w:tcW w:w="1527" w:type="dxa"/>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自定义列排序</w:t>
                  </w:r>
                </w:p>
              </w:tc>
              <w:tc>
                <w:tcPr>
                  <w:tcW w:w="2578"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7" w:type="dxa"/>
                <w:trHeight w:val="652" w:hRule="atLeast"/>
              </w:trPr>
              <w:tc>
                <w:tcPr>
                  <w:tcW w:w="1023"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工单批处理</w:t>
                  </w:r>
                </w:p>
              </w:tc>
              <w:tc>
                <w:tcPr>
                  <w:tcW w:w="1527" w:type="dxa"/>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提供强大的批处理功能：</w:t>
                  </w:r>
                </w:p>
              </w:tc>
              <w:tc>
                <w:tcPr>
                  <w:tcW w:w="2578"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7" w:type="dxa"/>
                <w:trHeight w:val="652" w:hRule="atLeast"/>
              </w:trPr>
              <w:tc>
                <w:tcPr>
                  <w:tcW w:w="1023"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工单导出</w:t>
                  </w:r>
                </w:p>
              </w:tc>
              <w:tc>
                <w:tcPr>
                  <w:tcW w:w="1527" w:type="dxa"/>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导出全部工单或选中工单</w:t>
                  </w:r>
                </w:p>
              </w:tc>
              <w:tc>
                <w:tcPr>
                  <w:tcW w:w="2578"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7" w:type="dxa"/>
                <w:trHeight w:val="652" w:hRule="atLeast"/>
              </w:trPr>
              <w:tc>
                <w:tcPr>
                  <w:tcW w:w="1023"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工单导入</w:t>
                  </w:r>
                </w:p>
              </w:tc>
              <w:tc>
                <w:tcPr>
                  <w:tcW w:w="1527" w:type="dxa"/>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支持工单导入</w:t>
                  </w:r>
                </w:p>
              </w:tc>
              <w:tc>
                <w:tcPr>
                  <w:tcW w:w="2578"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7" w:type="dxa"/>
                <w:trHeight w:val="652" w:hRule="atLeast"/>
              </w:trPr>
              <w:tc>
                <w:tcPr>
                  <w:tcW w:w="1023"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自定义工单分配</w:t>
                  </w:r>
                </w:p>
              </w:tc>
              <w:tc>
                <w:tcPr>
                  <w:tcW w:w="1527" w:type="dxa"/>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客服开启或关闭随机工单</w:t>
                  </w:r>
                </w:p>
              </w:tc>
              <w:tc>
                <w:tcPr>
                  <w:tcW w:w="2578"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7" w:type="dxa"/>
                <w:trHeight w:val="652" w:hRule="atLeast"/>
              </w:trPr>
              <w:tc>
                <w:tcPr>
                  <w:tcW w:w="1023"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工单处理</w:t>
                  </w:r>
                </w:p>
              </w:tc>
              <w:tc>
                <w:tcPr>
                  <w:tcW w:w="1309"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工单编辑</w:t>
                  </w: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支持客服将工单分配给其他客服组、客服</w:t>
                  </w:r>
                </w:p>
              </w:tc>
              <w:tc>
                <w:tcPr>
                  <w:tcW w:w="2578" w:type="dxa"/>
                  <w:vMerge w:val="restart"/>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普通工单客服只能看到属于自己的工单、被抄送的工单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7" w:type="dxa"/>
                <w:trHeight w:val="1293" w:hRule="atLeast"/>
              </w:trPr>
              <w:tc>
                <w:tcPr>
                  <w:tcW w:w="1023"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支持客服编辑工单信息，如优先级、状态、主题描述、模版内容等</w:t>
                  </w:r>
                </w:p>
              </w:tc>
              <w:tc>
                <w:tcPr>
                  <w:tcW w:w="2578"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7" w:type="dxa"/>
                <w:trHeight w:val="1293" w:hRule="atLeast"/>
              </w:trPr>
              <w:tc>
                <w:tcPr>
                  <w:tcW w:w="1023"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支持客服“所有人可见”回复，客户和其他客服可看见回复内容</w:t>
                  </w:r>
                </w:p>
              </w:tc>
              <w:tc>
                <w:tcPr>
                  <w:tcW w:w="2578"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7" w:type="dxa"/>
                <w:trHeight w:val="652" w:hRule="atLeast"/>
              </w:trPr>
              <w:tc>
                <w:tcPr>
                  <w:tcW w:w="1023"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支持邮件抄送全部联系人</w:t>
                  </w:r>
                </w:p>
              </w:tc>
              <w:tc>
                <w:tcPr>
                  <w:tcW w:w="2578"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7" w:type="dxa"/>
                <w:trHeight w:val="652" w:hRule="atLeast"/>
              </w:trPr>
              <w:tc>
                <w:tcPr>
                  <w:tcW w:w="1023"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支持快速选择填写预设回复内容</w:t>
                  </w:r>
                </w:p>
              </w:tc>
              <w:tc>
                <w:tcPr>
                  <w:tcW w:w="2578"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7" w:type="dxa"/>
                <w:trHeight w:val="1293" w:hRule="atLeast"/>
              </w:trPr>
              <w:tc>
                <w:tcPr>
                  <w:tcW w:w="1023"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电话呼叫回复客户可自动记录通话语音，客服可播放</w:t>
                  </w:r>
                </w:p>
              </w:tc>
              <w:tc>
                <w:tcPr>
                  <w:tcW w:w="2578"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7" w:type="dxa"/>
                <w:trHeight w:val="1293" w:hRule="atLeast"/>
              </w:trPr>
              <w:tc>
                <w:tcPr>
                  <w:tcW w:w="1023"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支持客服进行“仅客服所见”回复，只有其他客服可见</w:t>
                  </w:r>
                </w:p>
              </w:tc>
              <w:tc>
                <w:tcPr>
                  <w:tcW w:w="2578"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7" w:type="dxa"/>
                <w:trHeight w:val="652" w:hRule="atLeast"/>
              </w:trPr>
              <w:tc>
                <w:tcPr>
                  <w:tcW w:w="1023"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支持某些渠道的工单进行满意度调查</w:t>
                  </w:r>
                </w:p>
              </w:tc>
              <w:tc>
                <w:tcPr>
                  <w:tcW w:w="2578"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7" w:type="dxa"/>
                <w:trHeight w:val="652" w:hRule="atLeast"/>
              </w:trPr>
              <w:tc>
                <w:tcPr>
                  <w:tcW w:w="1023"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支持某些渠道的工单客服主动发送满意度调查</w:t>
                  </w:r>
                </w:p>
              </w:tc>
              <w:tc>
                <w:tcPr>
                  <w:tcW w:w="2578"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7" w:type="dxa"/>
                <w:trHeight w:val="652" w:hRule="atLeast"/>
              </w:trPr>
              <w:tc>
                <w:tcPr>
                  <w:tcW w:w="1023"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支持客服删除工单</w:t>
                  </w:r>
                </w:p>
              </w:tc>
              <w:tc>
                <w:tcPr>
                  <w:tcW w:w="2578"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7" w:type="dxa"/>
                <w:trHeight w:val="652" w:hRule="atLeast"/>
              </w:trPr>
              <w:tc>
                <w:tcPr>
                  <w:tcW w:w="1023"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支持客服设置是否接受工单分配</w:t>
                  </w:r>
                </w:p>
              </w:tc>
              <w:tc>
                <w:tcPr>
                  <w:tcW w:w="2578"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7" w:type="dxa"/>
                <w:trHeight w:val="652" w:hRule="atLeast"/>
              </w:trPr>
              <w:tc>
                <w:tcPr>
                  <w:tcW w:w="1023"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支持客服拉黑客户</w:t>
                  </w:r>
                </w:p>
              </w:tc>
              <w:tc>
                <w:tcPr>
                  <w:tcW w:w="2578"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7" w:type="dxa"/>
                <w:trHeight w:val="652" w:hRule="atLeast"/>
              </w:trPr>
              <w:tc>
                <w:tcPr>
                  <w:tcW w:w="1023"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支持修改工单客户</w:t>
                  </w:r>
                </w:p>
              </w:tc>
              <w:tc>
                <w:tcPr>
                  <w:tcW w:w="2578"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7" w:type="dxa"/>
                <w:trHeight w:val="1293" w:hRule="atLeast"/>
              </w:trPr>
              <w:tc>
                <w:tcPr>
                  <w:tcW w:w="1023"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工单详情</w:t>
                  </w:r>
                </w:p>
              </w:tc>
              <w:tc>
                <w:tcPr>
                  <w:tcW w:w="1309"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工单描述</w:t>
                  </w: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工单描述支持富文本编辑器，可进行字体、段落、字号等设置</w:t>
                  </w:r>
                </w:p>
              </w:tc>
              <w:tc>
                <w:tcPr>
                  <w:tcW w:w="2578" w:type="dxa"/>
                  <w:vMerge w:val="restart"/>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7" w:type="dxa"/>
                <w:trHeight w:val="652" w:hRule="atLeast"/>
              </w:trPr>
              <w:tc>
                <w:tcPr>
                  <w:tcW w:w="1023"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工单描述支持插入图片</w:t>
                  </w:r>
                </w:p>
              </w:tc>
              <w:tc>
                <w:tcPr>
                  <w:tcW w:w="2578"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7" w:type="dxa"/>
                <w:trHeight w:val="652" w:hRule="atLeast"/>
              </w:trPr>
              <w:tc>
                <w:tcPr>
                  <w:tcW w:w="1023"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工单描述支持插入超链接</w:t>
                  </w:r>
                </w:p>
              </w:tc>
              <w:tc>
                <w:tcPr>
                  <w:tcW w:w="2578"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7" w:type="dxa"/>
                <w:trHeight w:val="652" w:hRule="atLeast"/>
              </w:trPr>
              <w:tc>
                <w:tcPr>
                  <w:tcW w:w="1023"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工单描述支持插入视频</w:t>
                  </w:r>
                </w:p>
              </w:tc>
              <w:tc>
                <w:tcPr>
                  <w:tcW w:w="2578"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7" w:type="dxa"/>
                <w:trHeight w:val="652" w:hRule="atLeast"/>
              </w:trPr>
              <w:tc>
                <w:tcPr>
                  <w:tcW w:w="1023"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支持上传附件</w:t>
                  </w:r>
                </w:p>
              </w:tc>
              <w:tc>
                <w:tcPr>
                  <w:tcW w:w="2578"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7" w:type="dxa"/>
                <w:trHeight w:val="652" w:hRule="atLeast"/>
              </w:trPr>
              <w:tc>
                <w:tcPr>
                  <w:tcW w:w="1023"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工单属性</w:t>
                  </w: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支持优先级设定</w:t>
                  </w:r>
                </w:p>
              </w:tc>
              <w:tc>
                <w:tcPr>
                  <w:tcW w:w="2578" w:type="dxa"/>
                  <w:vMerge w:val="restart"/>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工单计时可以通过SLA设置，去除下班时间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7" w:type="dxa"/>
                <w:trHeight w:val="652" w:hRule="atLeast"/>
              </w:trPr>
              <w:tc>
                <w:tcPr>
                  <w:tcW w:w="1023"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支持工单提交渠道</w:t>
                  </w:r>
                </w:p>
              </w:tc>
              <w:tc>
                <w:tcPr>
                  <w:tcW w:w="2578"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7" w:type="dxa"/>
                <w:trHeight w:val="652" w:hRule="atLeast"/>
              </w:trPr>
              <w:tc>
                <w:tcPr>
                  <w:tcW w:w="1023"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支持工单详细来源</w:t>
                  </w:r>
                </w:p>
              </w:tc>
              <w:tc>
                <w:tcPr>
                  <w:tcW w:w="2578"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7" w:type="dxa"/>
                <w:trHeight w:val="652" w:hRule="atLeast"/>
              </w:trPr>
              <w:tc>
                <w:tcPr>
                  <w:tcW w:w="1023"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支持关注工单</w:t>
                  </w:r>
                </w:p>
              </w:tc>
              <w:tc>
                <w:tcPr>
                  <w:tcW w:w="2578"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7" w:type="dxa"/>
                <w:trHeight w:val="652" w:hRule="atLeast"/>
              </w:trPr>
              <w:tc>
                <w:tcPr>
                  <w:tcW w:w="1023"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支持显示工单计时情况</w:t>
                  </w:r>
                </w:p>
              </w:tc>
              <w:tc>
                <w:tcPr>
                  <w:tcW w:w="2578"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7" w:type="dxa"/>
                <w:trHeight w:val="652" w:hRule="atLeast"/>
              </w:trPr>
              <w:tc>
                <w:tcPr>
                  <w:tcW w:w="1023"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支持自定义工单计时信息</w:t>
                  </w:r>
                </w:p>
              </w:tc>
              <w:tc>
                <w:tcPr>
                  <w:tcW w:w="2578"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7" w:type="dxa"/>
                <w:trHeight w:val="1293" w:hRule="atLeast"/>
              </w:trPr>
              <w:tc>
                <w:tcPr>
                  <w:tcW w:w="1023"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工单模版</w:t>
                  </w: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支持设定多个工单模版，可在处理工单时编辑修改</w:t>
                  </w:r>
                </w:p>
              </w:tc>
              <w:tc>
                <w:tcPr>
                  <w:tcW w:w="2578" w:type="dxa"/>
                  <w:vMerge w:val="restart"/>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支持工单模板与工单分类绑定，方便客服创建工单时选择好分类后，就自动带出相关所需模板及自定义字段；便于管理及规范性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7" w:type="dxa"/>
                <w:trHeight w:val="652" w:hRule="atLeast"/>
              </w:trPr>
              <w:tc>
                <w:tcPr>
                  <w:tcW w:w="1023"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支持设置必填项</w:t>
                  </w:r>
                </w:p>
              </w:tc>
              <w:tc>
                <w:tcPr>
                  <w:tcW w:w="2578"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7" w:type="dxa"/>
                <w:trHeight w:val="1293" w:hRule="atLeast"/>
              </w:trPr>
              <w:tc>
                <w:tcPr>
                  <w:tcW w:w="1023"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支持多种工单字段类型，如文本框、下拉菜单、级联字段、单选、多选、日期时间等</w:t>
                  </w:r>
                </w:p>
              </w:tc>
              <w:tc>
                <w:tcPr>
                  <w:tcW w:w="2578"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7" w:type="dxa"/>
                <w:trHeight w:val="652" w:hRule="atLeast"/>
              </w:trPr>
              <w:tc>
                <w:tcPr>
                  <w:tcW w:w="1023"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工单辅助组件</w:t>
                  </w:r>
                </w:p>
              </w:tc>
              <w:tc>
                <w:tcPr>
                  <w:tcW w:w="152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支持设置工单Iframe组件，与第三方系统对接</w:t>
                  </w:r>
                </w:p>
              </w:tc>
              <w:tc>
                <w:tcPr>
                  <w:tcW w:w="257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7" w:type="dxa"/>
                <w:trHeight w:val="1508" w:hRule="atLeast"/>
              </w:trPr>
              <w:tc>
                <w:tcPr>
                  <w:tcW w:w="1023"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高级功能</w:t>
                  </w:r>
                </w:p>
              </w:tc>
              <w:tc>
                <w:tcPr>
                  <w:tcW w:w="130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流转触发器</w:t>
                  </w:r>
                </w:p>
              </w:tc>
              <w:tc>
                <w:tcPr>
                  <w:tcW w:w="1527" w:type="dxa"/>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支持工单创建、更新、回复等多种事件；支持工单字段、客户字段等筛选条件；支持工单编辑提醒目标等多种动作</w:t>
                  </w:r>
                </w:p>
              </w:tc>
              <w:tc>
                <w:tcPr>
                  <w:tcW w:w="257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条件满足后，直接触发执行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7" w:type="dxa"/>
                <w:trHeight w:val="1508" w:hRule="atLeast"/>
              </w:trPr>
              <w:tc>
                <w:tcPr>
                  <w:tcW w:w="1023"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定时触发器</w:t>
                  </w:r>
                </w:p>
              </w:tc>
              <w:tc>
                <w:tcPr>
                  <w:tcW w:w="1527" w:type="dxa"/>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支持工单创建、更新、回复等多种事件；支持工单字段、客户字段等筛选条件；支持工单编辑提醒目标等多种动作</w:t>
                  </w:r>
                </w:p>
              </w:tc>
              <w:tc>
                <w:tcPr>
                  <w:tcW w:w="257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定时执行，每小时执行一次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7" w:type="dxa"/>
                <w:trHeight w:val="1935" w:hRule="atLeast"/>
              </w:trPr>
              <w:tc>
                <w:tcPr>
                  <w:tcW w:w="1023"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工单自动任务</w:t>
                  </w:r>
                </w:p>
              </w:tc>
              <w:tc>
                <w:tcPr>
                  <w:tcW w:w="1527" w:type="dxa"/>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高级SLA：支持工单创建、更新、回复等多种事件；支持工单字段、客户字段、时间等筛选条件；支持工单编辑提醒目标等多种动作</w:t>
                  </w:r>
                </w:p>
              </w:tc>
              <w:tc>
                <w:tcPr>
                  <w:tcW w:w="257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可以去除下班时间，只计算上班时间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7" w:type="dxa"/>
                <w:trHeight w:val="1293" w:hRule="atLeast"/>
              </w:trPr>
              <w:tc>
                <w:tcPr>
                  <w:tcW w:w="1023"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工单上下班时间设置</w:t>
                  </w:r>
                </w:p>
              </w:tc>
              <w:tc>
                <w:tcPr>
                  <w:tcW w:w="1527" w:type="dxa"/>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可以设置整体上下班时间；也可以按技能组设置上下班时间；支持节假期、特殊上班时间等设置；</w:t>
                  </w:r>
                </w:p>
              </w:tc>
              <w:tc>
                <w:tcPr>
                  <w:tcW w:w="257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可以用于自动派单、SLA设置等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7" w:type="dxa"/>
                <w:trHeight w:val="652" w:hRule="atLeast"/>
              </w:trPr>
              <w:tc>
                <w:tcPr>
                  <w:tcW w:w="1023"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工单处理时间</w:t>
                  </w:r>
                </w:p>
              </w:tc>
              <w:tc>
                <w:tcPr>
                  <w:tcW w:w="1527" w:type="dxa"/>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工单状态计时</w:t>
                  </w:r>
                </w:p>
              </w:tc>
              <w:tc>
                <w:tcPr>
                  <w:tcW w:w="257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与SLA结合展示，通过消息通知形式通知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7" w:type="dxa"/>
                <w:trHeight w:val="1409" w:hRule="atLeast"/>
              </w:trPr>
              <w:tc>
                <w:tcPr>
                  <w:tcW w:w="1023"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工单插件设置</w:t>
                  </w:r>
                </w:p>
              </w:tc>
              <w:tc>
                <w:tcPr>
                  <w:tcW w:w="1527" w:type="dxa"/>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支持将工单插件嵌入到第三方系统或通过扫描方式，实现通过工单SDK提交工单、查看工单进度等</w:t>
                  </w:r>
                </w:p>
              </w:tc>
              <w:tc>
                <w:tcPr>
                  <w:tcW w:w="2578" w:type="dxa"/>
                  <w:vMerge w:val="restart"/>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7" w:type="dxa"/>
                <w:trHeight w:val="652" w:hRule="atLeast"/>
              </w:trPr>
              <w:tc>
                <w:tcPr>
                  <w:tcW w:w="1023"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留言模板设置</w:t>
                  </w:r>
                </w:p>
              </w:tc>
              <w:tc>
                <w:tcPr>
                  <w:tcW w:w="1527" w:type="dxa"/>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适合自定义留言模板及自定义字段等</w:t>
                  </w:r>
                </w:p>
              </w:tc>
              <w:tc>
                <w:tcPr>
                  <w:tcW w:w="2578"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7" w:type="dxa"/>
                <w:trHeight w:val="652" w:hRule="atLeast"/>
              </w:trPr>
              <w:tc>
                <w:tcPr>
                  <w:tcW w:w="1023"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工单配置</w:t>
                  </w:r>
                </w:p>
              </w:tc>
              <w:tc>
                <w:tcPr>
                  <w:tcW w:w="130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自定义模板</w:t>
                  </w:r>
                </w:p>
              </w:tc>
              <w:tc>
                <w:tcPr>
                  <w:tcW w:w="1527" w:type="dxa"/>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可设置多项工单模板</w:t>
                  </w:r>
                </w:p>
              </w:tc>
              <w:tc>
                <w:tcPr>
                  <w:tcW w:w="2578" w:type="dxa"/>
                  <w:vMerge w:val="restart"/>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7" w:type="dxa"/>
                <w:trHeight w:val="1050" w:hRule="atLeast"/>
              </w:trPr>
              <w:tc>
                <w:tcPr>
                  <w:tcW w:w="1023"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自定义字段</w:t>
                  </w:r>
                </w:p>
              </w:tc>
              <w:tc>
                <w:tcPr>
                  <w:tcW w:w="1527" w:type="dxa"/>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支持文本、数字、超链接、选择、级联等多项自定义字段</w:t>
                  </w:r>
                </w:p>
              </w:tc>
              <w:tc>
                <w:tcPr>
                  <w:tcW w:w="2578"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7" w:type="dxa"/>
                <w:trHeight w:val="492" w:hRule="atLeast"/>
              </w:trPr>
              <w:tc>
                <w:tcPr>
                  <w:tcW w:w="1023"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工单分类</w:t>
                  </w:r>
                </w:p>
              </w:tc>
              <w:tc>
                <w:tcPr>
                  <w:tcW w:w="1527" w:type="dxa"/>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支持与工单模板结合</w:t>
                  </w:r>
                </w:p>
              </w:tc>
              <w:tc>
                <w:tcPr>
                  <w:tcW w:w="2578"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7" w:type="dxa"/>
                <w:trHeight w:val="689" w:hRule="atLeast"/>
              </w:trPr>
              <w:tc>
                <w:tcPr>
                  <w:tcW w:w="1023"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工单技能组</w:t>
                  </w:r>
                </w:p>
              </w:tc>
              <w:tc>
                <w:tcPr>
                  <w:tcW w:w="1527" w:type="dxa"/>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可以工单设置工单技能组，后续统计、流转都可以按此分类进行</w:t>
                  </w:r>
                </w:p>
              </w:tc>
              <w:tc>
                <w:tcPr>
                  <w:tcW w:w="2578"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7" w:type="dxa"/>
                <w:trHeight w:val="652" w:hRule="atLeast"/>
              </w:trPr>
              <w:tc>
                <w:tcPr>
                  <w:tcW w:w="1023"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接单数量设置</w:t>
                  </w:r>
                </w:p>
              </w:tc>
              <w:tc>
                <w:tcPr>
                  <w:tcW w:w="1527" w:type="dxa"/>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可对客服单独设置手动接单量</w:t>
                  </w:r>
                </w:p>
              </w:tc>
              <w:tc>
                <w:tcPr>
                  <w:tcW w:w="2578"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7" w:type="dxa"/>
                <w:trHeight w:val="917" w:hRule="atLeast"/>
              </w:trPr>
              <w:tc>
                <w:tcPr>
                  <w:tcW w:w="1023"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权限</w:t>
                  </w:r>
                </w:p>
              </w:tc>
              <w:tc>
                <w:tcPr>
                  <w:tcW w:w="1527" w:type="dxa"/>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设置工单编辑权限，包括个人、组内、全部工单操作</w:t>
                  </w:r>
                </w:p>
              </w:tc>
              <w:tc>
                <w:tcPr>
                  <w:tcW w:w="2578"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7" w:type="dxa"/>
                <w:trHeight w:val="1000" w:hRule="atLeast"/>
              </w:trPr>
              <w:tc>
                <w:tcPr>
                  <w:tcW w:w="1023"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工单设置</w:t>
                  </w:r>
                </w:p>
              </w:tc>
              <w:tc>
                <w:tcPr>
                  <w:tcW w:w="1527" w:type="dxa"/>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基础设置：设置必填项、默认回复范围、工单发起人通知、发送提醒邮箱</w:t>
                  </w:r>
                </w:p>
              </w:tc>
              <w:tc>
                <w:tcPr>
                  <w:tcW w:w="2578"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7" w:type="dxa"/>
                <w:trHeight w:val="376" w:hRule="atLeast"/>
              </w:trPr>
              <w:tc>
                <w:tcPr>
                  <w:tcW w:w="1023"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自动接单状态设置</w:t>
                  </w:r>
                </w:p>
              </w:tc>
              <w:tc>
                <w:tcPr>
                  <w:tcW w:w="2578"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7" w:type="dxa"/>
                <w:trHeight w:val="652" w:hRule="atLeast"/>
              </w:trPr>
              <w:tc>
                <w:tcPr>
                  <w:tcW w:w="1023"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工单分类路径、提醒范围、重复创建工单提醒</w:t>
                  </w:r>
                </w:p>
              </w:tc>
              <w:tc>
                <w:tcPr>
                  <w:tcW w:w="2578"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7" w:type="dxa"/>
                <w:trHeight w:val="309" w:hRule="atLeast"/>
              </w:trPr>
              <w:tc>
                <w:tcPr>
                  <w:tcW w:w="1023"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催单设置</w:t>
                  </w:r>
                </w:p>
              </w:tc>
              <w:tc>
                <w:tcPr>
                  <w:tcW w:w="2578"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7" w:type="dxa"/>
                <w:trHeight w:val="425" w:hRule="atLeast"/>
              </w:trPr>
              <w:tc>
                <w:tcPr>
                  <w:tcW w:w="1023"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语音留言转工单设置</w:t>
                  </w:r>
                </w:p>
              </w:tc>
              <w:tc>
                <w:tcPr>
                  <w:tcW w:w="2578"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7" w:type="dxa"/>
                <w:trHeight w:val="983" w:hRule="atLeast"/>
              </w:trPr>
              <w:tc>
                <w:tcPr>
                  <w:tcW w:w="1023"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自定义满意度模板</w:t>
                  </w:r>
                </w:p>
              </w:tc>
              <w:tc>
                <w:tcPr>
                  <w:tcW w:w="1527" w:type="dxa"/>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添加自定义满意度模板，对留言模板分别开启和关联自定义满意度模板</w:t>
                  </w:r>
                </w:p>
              </w:tc>
              <w:tc>
                <w:tcPr>
                  <w:tcW w:w="2578" w:type="dxa"/>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7" w:type="dxa"/>
                <w:trHeight w:val="717" w:hRule="atLeast"/>
              </w:trPr>
              <w:tc>
                <w:tcPr>
                  <w:tcW w:w="1023"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自定义邮件模板设置</w:t>
                  </w:r>
                </w:p>
              </w:tc>
              <w:tc>
                <w:tcPr>
                  <w:tcW w:w="1527" w:type="dxa"/>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支持对客户及特殊客服邮件模板设置</w:t>
                  </w:r>
                </w:p>
              </w:tc>
              <w:tc>
                <w:tcPr>
                  <w:tcW w:w="2578" w:type="dxa"/>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7" w:type="dxa"/>
                <w:trHeight w:val="652" w:hRule="atLeast"/>
              </w:trPr>
              <w:tc>
                <w:tcPr>
                  <w:tcW w:w="1023"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自定义预设回复</w:t>
                  </w:r>
                </w:p>
              </w:tc>
              <w:tc>
                <w:tcPr>
                  <w:tcW w:w="1527" w:type="dxa"/>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添加自定义预设回复内容</w:t>
                  </w:r>
                </w:p>
              </w:tc>
              <w:tc>
                <w:tcPr>
                  <w:tcW w:w="2578" w:type="dxa"/>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7" w:type="dxa"/>
                <w:trHeight w:val="983" w:hRule="atLeast"/>
              </w:trPr>
              <w:tc>
                <w:tcPr>
                  <w:tcW w:w="1023"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报表</w:t>
                  </w:r>
                </w:p>
              </w:tc>
              <w:tc>
                <w:tcPr>
                  <w:tcW w:w="130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整体报表</w:t>
                  </w:r>
                </w:p>
              </w:tc>
              <w:tc>
                <w:tcPr>
                  <w:tcW w:w="1527" w:type="dxa"/>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支持整体工单工作量查看，并且能快捷跳转到工单详情中</w:t>
                  </w:r>
                </w:p>
              </w:tc>
              <w:tc>
                <w:tcPr>
                  <w:tcW w:w="2578" w:type="dxa"/>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7" w:type="dxa"/>
                <w:trHeight w:val="783" w:hRule="atLeast"/>
              </w:trPr>
              <w:tc>
                <w:tcPr>
                  <w:tcW w:w="1023"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工单分类统计报表</w:t>
                  </w:r>
                </w:p>
              </w:tc>
              <w:tc>
                <w:tcPr>
                  <w:tcW w:w="1527" w:type="dxa"/>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分类统计工单数量、状态、解决率、关闭率等内容</w:t>
                  </w:r>
                </w:p>
              </w:tc>
              <w:tc>
                <w:tcPr>
                  <w:tcW w:w="2578" w:type="dxa"/>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7" w:type="dxa"/>
                <w:trHeight w:val="623" w:hRule="atLeast"/>
              </w:trPr>
              <w:tc>
                <w:tcPr>
                  <w:tcW w:w="1023"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工单满意度报表</w:t>
                  </w:r>
                </w:p>
              </w:tc>
              <w:tc>
                <w:tcPr>
                  <w:tcW w:w="1527" w:type="dxa"/>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查看邀请评价工单数量，评价率，评价结果评分，平均得分等内容</w:t>
                  </w:r>
                </w:p>
              </w:tc>
              <w:tc>
                <w:tcPr>
                  <w:tcW w:w="2578" w:type="dxa"/>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7" w:type="dxa"/>
                <w:trHeight w:val="225" w:hRule="atLeast"/>
              </w:trPr>
              <w:tc>
                <w:tcPr>
                  <w:tcW w:w="1023"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客服报表</w:t>
                  </w:r>
                </w:p>
              </w:tc>
              <w:tc>
                <w:tcPr>
                  <w:tcW w:w="1527" w:type="dxa"/>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分组查看工单</w:t>
                  </w:r>
                </w:p>
              </w:tc>
              <w:tc>
                <w:tcPr>
                  <w:tcW w:w="2578" w:type="dxa"/>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7" w:type="dxa"/>
                <w:trHeight w:val="475" w:hRule="atLeast"/>
              </w:trPr>
              <w:tc>
                <w:tcPr>
                  <w:tcW w:w="1023"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自定义报表</w:t>
                  </w:r>
                </w:p>
              </w:tc>
              <w:tc>
                <w:tcPr>
                  <w:tcW w:w="1527" w:type="dxa"/>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按客服组维度导出工作量</w:t>
                  </w:r>
                </w:p>
              </w:tc>
              <w:tc>
                <w:tcPr>
                  <w:tcW w:w="2578" w:type="dxa"/>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7" w:type="dxa"/>
                <w:trHeight w:val="312" w:hRule="atLeast"/>
              </w:trPr>
              <w:tc>
                <w:tcPr>
                  <w:tcW w:w="1023"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API接口</w:t>
                  </w:r>
                </w:p>
              </w:tc>
              <w:tc>
                <w:tcPr>
                  <w:tcW w:w="1309"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API接口</w:t>
                  </w:r>
                </w:p>
              </w:tc>
              <w:tc>
                <w:tcPr>
                  <w:tcW w:w="1527" w:type="dxa"/>
                  <w:vMerge w:val="restart"/>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0"/>
                      <w:szCs w:val="20"/>
                      <w:lang w:eastAsia="zh-CN" w:bidi="ar"/>
                    </w:rPr>
                  </w:pPr>
                  <w:r>
                    <w:rPr>
                      <w:rFonts w:hint="eastAsia" w:ascii="仿宋_GB2312" w:hAnsi="仿宋_GB2312" w:eastAsia="仿宋_GB2312" w:cs="仿宋_GB2312"/>
                      <w:color w:val="000000"/>
                      <w:kern w:val="0"/>
                      <w:sz w:val="20"/>
                      <w:szCs w:val="20"/>
                      <w:lang w:bidi="ar"/>
                    </w:rPr>
                    <w:t>创建工单</w:t>
                  </w:r>
                </w:p>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0"/>
                      <w:szCs w:val="20"/>
                      <w:lang w:eastAsia="zh-CN" w:bidi="ar"/>
                    </w:rPr>
                  </w:pPr>
                  <w:r>
                    <w:rPr>
                      <w:rFonts w:hint="eastAsia" w:ascii="仿宋_GB2312" w:hAnsi="仿宋_GB2312" w:eastAsia="仿宋_GB2312" w:cs="仿宋_GB2312"/>
                      <w:color w:val="000000"/>
                      <w:kern w:val="0"/>
                      <w:sz w:val="20"/>
                      <w:szCs w:val="20"/>
                      <w:lang w:bidi="ar"/>
                    </w:rPr>
                    <w:t>回复工单</w:t>
                  </w:r>
                </w:p>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0"/>
                      <w:szCs w:val="20"/>
                      <w:lang w:eastAsia="zh-CN" w:bidi="ar"/>
                    </w:rPr>
                  </w:pPr>
                  <w:r>
                    <w:rPr>
                      <w:rFonts w:hint="eastAsia" w:ascii="仿宋_GB2312" w:hAnsi="仿宋_GB2312" w:eastAsia="仿宋_GB2312" w:cs="仿宋_GB2312"/>
                      <w:color w:val="000000"/>
                      <w:kern w:val="0"/>
                      <w:sz w:val="20"/>
                      <w:szCs w:val="20"/>
                      <w:lang w:bidi="ar"/>
                    </w:rPr>
                    <w:t>创建或回复时上传附件</w:t>
                  </w:r>
                </w:p>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0"/>
                      <w:szCs w:val="20"/>
                      <w:lang w:eastAsia="zh-CN" w:bidi="ar"/>
                    </w:rPr>
                  </w:pPr>
                  <w:r>
                    <w:rPr>
                      <w:rFonts w:hint="eastAsia" w:ascii="仿宋_GB2312" w:hAnsi="仿宋_GB2312" w:eastAsia="仿宋_GB2312" w:cs="仿宋_GB2312"/>
                      <w:color w:val="000000"/>
                      <w:kern w:val="0"/>
                      <w:sz w:val="20"/>
                      <w:szCs w:val="20"/>
                      <w:lang w:bidi="ar"/>
                    </w:rPr>
                    <w:t>查询数据字典</w:t>
                  </w:r>
                </w:p>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0"/>
                      <w:szCs w:val="20"/>
                      <w:lang w:eastAsia="zh-CN" w:bidi="ar"/>
                    </w:rPr>
                  </w:pPr>
                  <w:r>
                    <w:rPr>
                      <w:rFonts w:hint="eastAsia" w:ascii="仿宋_GB2312" w:hAnsi="仿宋_GB2312" w:eastAsia="仿宋_GB2312" w:cs="仿宋_GB2312"/>
                      <w:color w:val="000000"/>
                      <w:kern w:val="0"/>
                      <w:sz w:val="20"/>
                      <w:szCs w:val="20"/>
                      <w:lang w:bidi="ar"/>
                    </w:rPr>
                    <w:t>查询自定义字段定义信息</w:t>
                  </w:r>
                </w:p>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0"/>
                      <w:szCs w:val="20"/>
                      <w:lang w:eastAsia="zh-CN" w:bidi="ar"/>
                    </w:rPr>
                  </w:pPr>
                  <w:r>
                    <w:rPr>
                      <w:rFonts w:hint="eastAsia" w:ascii="仿宋_GB2312" w:hAnsi="仿宋_GB2312" w:eastAsia="仿宋_GB2312" w:cs="仿宋_GB2312"/>
                      <w:color w:val="000000"/>
                      <w:kern w:val="0"/>
                      <w:sz w:val="20"/>
                      <w:szCs w:val="20"/>
                      <w:lang w:bidi="ar"/>
                    </w:rPr>
                    <w:t>添加选择型自定义字段选型信息</w:t>
                  </w:r>
                </w:p>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0"/>
                      <w:szCs w:val="20"/>
                      <w:lang w:eastAsia="zh-CN" w:bidi="ar"/>
                    </w:rPr>
                  </w:pPr>
                  <w:r>
                    <w:rPr>
                      <w:rFonts w:hint="eastAsia" w:ascii="仿宋_GB2312" w:hAnsi="仿宋_GB2312" w:eastAsia="仿宋_GB2312" w:cs="仿宋_GB2312"/>
                      <w:color w:val="000000"/>
                      <w:kern w:val="0"/>
                      <w:sz w:val="20"/>
                      <w:szCs w:val="20"/>
                      <w:lang w:bidi="ar"/>
                    </w:rPr>
                    <w:t>查询工单分类关联的工单模板</w:t>
                  </w:r>
                </w:p>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0"/>
                      <w:szCs w:val="20"/>
                      <w:lang w:eastAsia="zh-CN" w:bidi="ar"/>
                    </w:rPr>
                  </w:pPr>
                  <w:r>
                    <w:rPr>
                      <w:rFonts w:hint="eastAsia" w:ascii="仿宋_GB2312" w:hAnsi="仿宋_GB2312" w:eastAsia="仿宋_GB2312" w:cs="仿宋_GB2312"/>
                      <w:color w:val="000000"/>
                      <w:kern w:val="0"/>
                      <w:sz w:val="20"/>
                      <w:szCs w:val="20"/>
                      <w:lang w:bidi="ar"/>
                    </w:rPr>
                    <w:t>查询工单列表</w:t>
                  </w:r>
                </w:p>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0"/>
                      <w:szCs w:val="20"/>
                      <w:lang w:eastAsia="zh-CN" w:bidi="ar"/>
                    </w:rPr>
                  </w:pPr>
                  <w:r>
                    <w:rPr>
                      <w:rFonts w:hint="eastAsia" w:ascii="仿宋_GB2312" w:hAnsi="仿宋_GB2312" w:eastAsia="仿宋_GB2312" w:cs="仿宋_GB2312"/>
                      <w:color w:val="000000"/>
                      <w:kern w:val="0"/>
                      <w:sz w:val="20"/>
                      <w:szCs w:val="20"/>
                      <w:lang w:bidi="ar"/>
                    </w:rPr>
                    <w:t>查询工单详情页</w:t>
                  </w:r>
                </w:p>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0"/>
                      <w:szCs w:val="20"/>
                      <w:lang w:eastAsia="zh-CN" w:bidi="ar"/>
                    </w:rPr>
                  </w:pPr>
                  <w:r>
                    <w:rPr>
                      <w:rFonts w:hint="eastAsia" w:ascii="仿宋_GB2312" w:hAnsi="仿宋_GB2312" w:eastAsia="仿宋_GB2312" w:cs="仿宋_GB2312"/>
                      <w:color w:val="000000"/>
                      <w:kern w:val="0"/>
                      <w:sz w:val="20"/>
                      <w:szCs w:val="20"/>
                      <w:lang w:bidi="ar"/>
                    </w:rPr>
                    <w:t>查询工单统计概览</w:t>
                  </w:r>
                </w:p>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0"/>
                      <w:szCs w:val="20"/>
                      <w:lang w:eastAsia="zh-CN" w:bidi="ar"/>
                    </w:rPr>
                  </w:pPr>
                  <w:r>
                    <w:rPr>
                      <w:rFonts w:hint="eastAsia" w:ascii="仿宋_GB2312" w:hAnsi="仿宋_GB2312" w:eastAsia="仿宋_GB2312" w:cs="仿宋_GB2312"/>
                      <w:color w:val="000000"/>
                      <w:kern w:val="0"/>
                      <w:sz w:val="20"/>
                      <w:szCs w:val="20"/>
                      <w:lang w:bidi="ar"/>
                    </w:rPr>
                    <w:t>查询工单客服工作量</w:t>
                  </w:r>
                </w:p>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0"/>
                      <w:szCs w:val="20"/>
                      <w:lang w:eastAsia="zh-CN" w:bidi="ar"/>
                    </w:rPr>
                  </w:pPr>
                  <w:r>
                    <w:rPr>
                      <w:rFonts w:hint="eastAsia" w:ascii="仿宋_GB2312" w:hAnsi="仿宋_GB2312" w:eastAsia="仿宋_GB2312" w:cs="仿宋_GB2312"/>
                      <w:color w:val="000000"/>
                      <w:kern w:val="0"/>
                      <w:sz w:val="20"/>
                      <w:szCs w:val="20"/>
                      <w:lang w:bidi="ar"/>
                    </w:rPr>
                    <w:t>查询工单消息推送异常数据</w:t>
                  </w:r>
                </w:p>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工单消息转发（新建、客服回复、催单）</w:t>
                  </w:r>
                </w:p>
              </w:tc>
              <w:tc>
                <w:tcPr>
                  <w:tcW w:w="2578" w:type="dxa"/>
                  <w:vMerge w:val="restart"/>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7" w:type="dxa"/>
                <w:trHeight w:val="312" w:hRule="atLeast"/>
              </w:trPr>
              <w:tc>
                <w:tcPr>
                  <w:tcW w:w="1023"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vMerge w:val="continue"/>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000000"/>
                      <w:sz w:val="20"/>
                      <w:szCs w:val="20"/>
                    </w:rPr>
                  </w:pPr>
                </w:p>
              </w:tc>
              <w:tc>
                <w:tcPr>
                  <w:tcW w:w="2578"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7" w:type="dxa"/>
                <w:trHeight w:val="312" w:hRule="atLeast"/>
              </w:trPr>
              <w:tc>
                <w:tcPr>
                  <w:tcW w:w="1023"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vMerge w:val="continue"/>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000000"/>
                      <w:sz w:val="20"/>
                      <w:szCs w:val="20"/>
                    </w:rPr>
                  </w:pPr>
                </w:p>
              </w:tc>
              <w:tc>
                <w:tcPr>
                  <w:tcW w:w="2578"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7" w:type="dxa"/>
                <w:trHeight w:val="312" w:hRule="atLeast"/>
              </w:trPr>
              <w:tc>
                <w:tcPr>
                  <w:tcW w:w="1023"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vMerge w:val="continue"/>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000000"/>
                      <w:sz w:val="20"/>
                      <w:szCs w:val="20"/>
                    </w:rPr>
                  </w:pPr>
                </w:p>
              </w:tc>
              <w:tc>
                <w:tcPr>
                  <w:tcW w:w="2578"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7" w:type="dxa"/>
                <w:trHeight w:val="312" w:hRule="atLeast"/>
              </w:trPr>
              <w:tc>
                <w:tcPr>
                  <w:tcW w:w="1023"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vMerge w:val="continue"/>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000000"/>
                      <w:sz w:val="20"/>
                      <w:szCs w:val="20"/>
                    </w:rPr>
                  </w:pPr>
                </w:p>
              </w:tc>
              <w:tc>
                <w:tcPr>
                  <w:tcW w:w="2578"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7" w:type="dxa"/>
                <w:trHeight w:val="312" w:hRule="atLeast"/>
              </w:trPr>
              <w:tc>
                <w:tcPr>
                  <w:tcW w:w="1023"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vMerge w:val="continue"/>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000000"/>
                      <w:sz w:val="20"/>
                      <w:szCs w:val="20"/>
                    </w:rPr>
                  </w:pPr>
                </w:p>
              </w:tc>
              <w:tc>
                <w:tcPr>
                  <w:tcW w:w="2578"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7" w:type="dxa"/>
                <w:trHeight w:val="312" w:hRule="atLeast"/>
              </w:trPr>
              <w:tc>
                <w:tcPr>
                  <w:tcW w:w="1023"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vMerge w:val="continue"/>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000000"/>
                      <w:sz w:val="20"/>
                      <w:szCs w:val="20"/>
                    </w:rPr>
                  </w:pPr>
                </w:p>
              </w:tc>
              <w:tc>
                <w:tcPr>
                  <w:tcW w:w="2578"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7" w:type="dxa"/>
                <w:trHeight w:val="312" w:hRule="atLeast"/>
              </w:trPr>
              <w:tc>
                <w:tcPr>
                  <w:tcW w:w="1023"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vMerge w:val="continue"/>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000000"/>
                      <w:sz w:val="20"/>
                      <w:szCs w:val="20"/>
                    </w:rPr>
                  </w:pPr>
                </w:p>
              </w:tc>
              <w:tc>
                <w:tcPr>
                  <w:tcW w:w="2578"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7" w:type="dxa"/>
                <w:trHeight w:val="312" w:hRule="atLeast"/>
              </w:trPr>
              <w:tc>
                <w:tcPr>
                  <w:tcW w:w="1023"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vMerge w:val="continue"/>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000000"/>
                      <w:sz w:val="20"/>
                      <w:szCs w:val="20"/>
                    </w:rPr>
                  </w:pPr>
                </w:p>
              </w:tc>
              <w:tc>
                <w:tcPr>
                  <w:tcW w:w="2578"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7" w:type="dxa"/>
                <w:trHeight w:val="312" w:hRule="atLeast"/>
              </w:trPr>
              <w:tc>
                <w:tcPr>
                  <w:tcW w:w="1023"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vMerge w:val="continue"/>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000000"/>
                      <w:sz w:val="20"/>
                      <w:szCs w:val="20"/>
                    </w:rPr>
                  </w:pPr>
                </w:p>
              </w:tc>
              <w:tc>
                <w:tcPr>
                  <w:tcW w:w="2578"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7" w:type="dxa"/>
                <w:trHeight w:val="312" w:hRule="atLeast"/>
              </w:trPr>
              <w:tc>
                <w:tcPr>
                  <w:tcW w:w="1023"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vMerge w:val="continue"/>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000000"/>
                      <w:sz w:val="20"/>
                      <w:szCs w:val="20"/>
                    </w:rPr>
                  </w:pPr>
                </w:p>
              </w:tc>
              <w:tc>
                <w:tcPr>
                  <w:tcW w:w="2578"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7" w:type="dxa"/>
                <w:trHeight w:val="312" w:hRule="atLeast"/>
              </w:trPr>
              <w:tc>
                <w:tcPr>
                  <w:tcW w:w="1023"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vMerge w:val="continue"/>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000000"/>
                      <w:sz w:val="20"/>
                      <w:szCs w:val="20"/>
                    </w:rPr>
                  </w:pPr>
                </w:p>
              </w:tc>
              <w:tc>
                <w:tcPr>
                  <w:tcW w:w="2578"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7" w:type="dxa"/>
                <w:trHeight w:val="312" w:hRule="atLeast"/>
              </w:trPr>
              <w:tc>
                <w:tcPr>
                  <w:tcW w:w="1023"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vMerge w:val="continue"/>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000000"/>
                      <w:sz w:val="20"/>
                      <w:szCs w:val="20"/>
                    </w:rPr>
                  </w:pPr>
                </w:p>
              </w:tc>
              <w:tc>
                <w:tcPr>
                  <w:tcW w:w="2578"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7" w:type="dxa"/>
                <w:trHeight w:val="312" w:hRule="atLeast"/>
              </w:trPr>
              <w:tc>
                <w:tcPr>
                  <w:tcW w:w="1023"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vMerge w:val="continue"/>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000000"/>
                      <w:sz w:val="20"/>
                      <w:szCs w:val="20"/>
                    </w:rPr>
                  </w:pPr>
                </w:p>
              </w:tc>
              <w:tc>
                <w:tcPr>
                  <w:tcW w:w="2578"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7" w:type="dxa"/>
                <w:trHeight w:val="312" w:hRule="atLeast"/>
              </w:trPr>
              <w:tc>
                <w:tcPr>
                  <w:tcW w:w="1023"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vMerge w:val="continue"/>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000000"/>
                      <w:sz w:val="20"/>
                      <w:szCs w:val="20"/>
                    </w:rPr>
                  </w:pPr>
                </w:p>
              </w:tc>
              <w:tc>
                <w:tcPr>
                  <w:tcW w:w="2578"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7" w:type="dxa"/>
                <w:trHeight w:val="312" w:hRule="atLeast"/>
              </w:trPr>
              <w:tc>
                <w:tcPr>
                  <w:tcW w:w="1023"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vMerge w:val="continue"/>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000000"/>
                      <w:sz w:val="20"/>
                      <w:szCs w:val="20"/>
                    </w:rPr>
                  </w:pPr>
                </w:p>
              </w:tc>
              <w:tc>
                <w:tcPr>
                  <w:tcW w:w="2578"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37" w:type="dxa"/>
                <w:trHeight w:val="442" w:hRule="atLeast"/>
              </w:trPr>
              <w:tc>
                <w:tcPr>
                  <w:tcW w:w="1023"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309"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0"/>
                      <w:szCs w:val="20"/>
                    </w:rPr>
                  </w:pPr>
                </w:p>
              </w:tc>
              <w:tc>
                <w:tcPr>
                  <w:tcW w:w="1527" w:type="dxa"/>
                  <w:vMerge w:val="continue"/>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000000"/>
                      <w:sz w:val="20"/>
                      <w:szCs w:val="20"/>
                    </w:rPr>
                  </w:pPr>
                </w:p>
              </w:tc>
              <w:tc>
                <w:tcPr>
                  <w:tcW w:w="2578"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 w:val="20"/>
                      <w:szCs w:val="20"/>
                    </w:rPr>
                  </w:pPr>
                </w:p>
              </w:tc>
            </w:tr>
          </w:tbl>
          <w:p>
            <w:pPr>
              <w:pStyle w:val="6"/>
              <w:keepNext w:val="0"/>
              <w:keepLines w:val="0"/>
              <w:suppressLineNumbers w:val="0"/>
              <w:spacing w:before="0" w:beforeAutospacing="0" w:afterAutospacing="0"/>
              <w:ind w:left="0" w:right="0"/>
              <w:rPr>
                <w:rFonts w:hint="eastAsia" w:ascii="仿宋_GB2312" w:hAnsi="仿宋_GB2312" w:eastAsia="仿宋_GB2312" w:cs="仿宋_GB2312"/>
                <w:sz w:val="20"/>
                <w:szCs w:val="20"/>
              </w:rPr>
            </w:pPr>
          </w:p>
          <w:p>
            <w:pPr>
              <w:pStyle w:val="6"/>
              <w:keepNext w:val="0"/>
              <w:keepLines w:val="0"/>
              <w:suppressLineNumbers w:val="0"/>
              <w:snapToGrid w:val="0"/>
              <w:spacing w:before="0" w:beforeAutospacing="0" w:afterAutospacing="0" w:line="300" w:lineRule="auto"/>
              <w:ind w:left="0" w:right="0"/>
              <w:rPr>
                <w:rFonts w:hint="eastAsia" w:ascii="仿宋_GB2312" w:hAnsi="仿宋_GB2312" w:eastAsia="仿宋_GB2312" w:cs="仿宋_GB2312"/>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534" w:type="dxa"/>
            <w:vMerge w:val="restart"/>
            <w:tcBorders>
              <w:left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line="300" w:lineRule="auto"/>
              <w:ind w:left="0" w:right="0"/>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2</w:t>
            </w:r>
          </w:p>
        </w:tc>
        <w:tc>
          <w:tcPr>
            <w:tcW w:w="832" w:type="dxa"/>
            <w:vMerge w:val="restart"/>
            <w:tcBorders>
              <w:left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line="300" w:lineRule="auto"/>
              <w:ind w:left="0" w:right="0"/>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驻场客服服务</w:t>
            </w:r>
          </w:p>
        </w:tc>
        <w:tc>
          <w:tcPr>
            <w:tcW w:w="558" w:type="dxa"/>
            <w:vMerge w:val="restart"/>
            <w:tcBorders>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line="300" w:lineRule="auto"/>
              <w:ind w:left="0" w:right="0"/>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1</w:t>
            </w:r>
          </w:p>
        </w:tc>
        <w:tc>
          <w:tcPr>
            <w:tcW w:w="525" w:type="dxa"/>
            <w:vMerge w:val="restart"/>
            <w:tcBorders>
              <w:left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项</w:t>
            </w:r>
          </w:p>
        </w:tc>
        <w:tc>
          <w:tcPr>
            <w:tcW w:w="6502" w:type="dxa"/>
            <w:tcBorders>
              <w:top w:val="single" w:color="auto" w:sz="4" w:space="0"/>
              <w:left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★一、中英双语客服1人，服务期限1年，要求如下：</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1.工作地点在南宁市区内,具体地点由采购方指定；</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2.学历为大专及以上</w:t>
            </w:r>
            <w:r>
              <w:rPr>
                <w:rFonts w:hint="eastAsia" w:ascii="仿宋_GB2312" w:hAnsi="仿宋_GB2312" w:eastAsia="仿宋_GB2312" w:cs="仿宋_GB2312"/>
                <w:color w:val="auto"/>
                <w:sz w:val="20"/>
                <w:szCs w:val="20"/>
                <w:highlight w:val="none"/>
                <w:lang w:eastAsia="zh-CN"/>
              </w:rPr>
              <w:t>，英语</w:t>
            </w:r>
            <w:r>
              <w:rPr>
                <w:rFonts w:hint="eastAsia" w:ascii="仿宋_GB2312" w:hAnsi="仿宋_GB2312" w:eastAsia="仿宋_GB2312" w:cs="仿宋_GB2312"/>
                <w:color w:val="auto"/>
                <w:sz w:val="20"/>
                <w:szCs w:val="20"/>
                <w:highlight w:val="none"/>
                <w:lang w:val="en-US" w:eastAsia="zh-CN"/>
              </w:rPr>
              <w:t>6级及以上</w:t>
            </w:r>
            <w:r>
              <w:rPr>
                <w:rFonts w:hint="eastAsia" w:ascii="仿宋_GB2312" w:hAnsi="仿宋_GB2312" w:eastAsia="仿宋_GB2312" w:cs="仿宋_GB2312"/>
                <w:color w:val="auto"/>
                <w:sz w:val="20"/>
                <w:szCs w:val="20"/>
                <w:highlight w:val="none"/>
              </w:rPr>
              <w:t>；</w:t>
            </w:r>
          </w:p>
          <w:p>
            <w:pPr>
              <w:pStyle w:val="6"/>
              <w:keepNext w:val="0"/>
              <w:keepLines w:val="0"/>
              <w:suppressLineNumbers w:val="0"/>
              <w:spacing w:before="0" w:beforeAutospacing="0" w:afterAutospacing="0"/>
              <w:ind w:left="0" w:right="0"/>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color w:val="auto"/>
                <w:sz w:val="20"/>
                <w:szCs w:val="20"/>
                <w:highlight w:val="none"/>
                <w:lang w:val="en-US" w:eastAsia="zh-CN"/>
              </w:rPr>
              <w:t>3.有1年以上呼叫中心客服工作经验，学习能力强并能承受一定的工作压力。</w:t>
            </w:r>
          </w:p>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4</w:t>
            </w:r>
            <w:r>
              <w:rPr>
                <w:rFonts w:hint="eastAsia" w:ascii="仿宋_GB2312" w:hAnsi="仿宋_GB2312" w:eastAsia="仿宋_GB2312" w:cs="仿宋_GB2312"/>
                <w:color w:val="auto"/>
                <w:sz w:val="20"/>
                <w:szCs w:val="20"/>
                <w:highlight w:val="none"/>
              </w:rPr>
              <w:t>.主要从事语音和在线客服工作，同时需协助</w:t>
            </w:r>
            <w:r>
              <w:rPr>
                <w:rFonts w:hint="eastAsia" w:ascii="仿宋_GB2312" w:hAnsi="仿宋_GB2312" w:eastAsia="仿宋_GB2312" w:cs="仿宋_GB2312"/>
                <w:color w:val="auto"/>
                <w:sz w:val="20"/>
                <w:szCs w:val="20"/>
                <w:highlight w:val="none"/>
                <w:lang w:eastAsia="zh-CN"/>
              </w:rPr>
              <w:t>客服主管</w:t>
            </w:r>
            <w:r>
              <w:rPr>
                <w:rFonts w:hint="eastAsia" w:ascii="仿宋_GB2312" w:hAnsi="仿宋_GB2312" w:eastAsia="仿宋_GB2312" w:cs="仿宋_GB2312"/>
                <w:color w:val="auto"/>
                <w:sz w:val="20"/>
                <w:szCs w:val="20"/>
                <w:highlight w:val="none"/>
              </w:rPr>
              <w:t>完成培训、管理</w:t>
            </w:r>
            <w:r>
              <w:rPr>
                <w:rFonts w:hint="eastAsia" w:ascii="仿宋_GB2312" w:hAnsi="仿宋_GB2312" w:eastAsia="仿宋_GB2312" w:cs="仿宋_GB2312"/>
                <w:color w:val="auto"/>
                <w:sz w:val="20"/>
                <w:szCs w:val="20"/>
                <w:highlight w:val="none"/>
                <w:lang w:eastAsia="zh-CN"/>
              </w:rPr>
              <w:t>、考核、</w:t>
            </w:r>
            <w:r>
              <w:rPr>
                <w:rFonts w:hint="eastAsia" w:ascii="仿宋_GB2312" w:hAnsi="仿宋_GB2312" w:eastAsia="仿宋_GB2312" w:cs="仿宋_GB2312"/>
                <w:bCs/>
                <w:color w:val="auto"/>
                <w:sz w:val="20"/>
                <w:szCs w:val="20"/>
                <w:highlight w:val="none"/>
              </w:rPr>
              <w:t>整理建立知识库</w:t>
            </w:r>
            <w:r>
              <w:rPr>
                <w:rFonts w:hint="eastAsia" w:ascii="仿宋_GB2312" w:hAnsi="仿宋_GB2312" w:eastAsia="仿宋_GB2312" w:cs="仿宋_GB2312"/>
                <w:bCs/>
                <w:color w:val="auto"/>
                <w:sz w:val="20"/>
                <w:szCs w:val="20"/>
                <w:highlight w:val="none"/>
                <w:lang w:eastAsia="zh-CN"/>
              </w:rPr>
              <w:t>、应答话术</w:t>
            </w:r>
            <w:r>
              <w:rPr>
                <w:rFonts w:hint="eastAsia" w:ascii="仿宋_GB2312" w:hAnsi="仿宋_GB2312" w:eastAsia="仿宋_GB2312" w:cs="仿宋_GB2312"/>
                <w:color w:val="auto"/>
                <w:sz w:val="20"/>
                <w:szCs w:val="20"/>
                <w:highlight w:val="none"/>
              </w:rPr>
              <w:t>等工作。此外，需根据采购方的要求定期提供业务数据报告。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534"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line="300" w:lineRule="auto"/>
              <w:ind w:left="0" w:right="0"/>
              <w:jc w:val="center"/>
              <w:rPr>
                <w:rFonts w:hint="default" w:ascii="仿宋_GB2312" w:hAnsi="仿宋_GB2312" w:eastAsia="仿宋_GB2312" w:cs="仿宋_GB2312"/>
                <w:color w:val="auto"/>
                <w:sz w:val="20"/>
                <w:szCs w:val="20"/>
                <w:highlight w:val="none"/>
              </w:rPr>
            </w:pPr>
          </w:p>
        </w:tc>
        <w:tc>
          <w:tcPr>
            <w:tcW w:w="832"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auto"/>
                <w:sz w:val="20"/>
                <w:szCs w:val="20"/>
                <w:highlight w:val="none"/>
              </w:rPr>
            </w:pPr>
          </w:p>
        </w:tc>
        <w:tc>
          <w:tcPr>
            <w:tcW w:w="558"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line="300" w:lineRule="auto"/>
              <w:ind w:left="0" w:right="0"/>
              <w:jc w:val="center"/>
              <w:rPr>
                <w:rFonts w:hint="eastAsia" w:ascii="仿宋_GB2312" w:hAnsi="仿宋_GB2312" w:eastAsia="仿宋_GB2312" w:cs="仿宋_GB2312"/>
                <w:color w:val="auto"/>
                <w:sz w:val="20"/>
                <w:szCs w:val="20"/>
                <w:highlight w:val="none"/>
              </w:rPr>
            </w:pPr>
          </w:p>
        </w:tc>
        <w:tc>
          <w:tcPr>
            <w:tcW w:w="525"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line="300" w:lineRule="auto"/>
              <w:ind w:left="0" w:right="0"/>
              <w:jc w:val="center"/>
              <w:rPr>
                <w:rFonts w:hint="default" w:ascii="仿宋_GB2312" w:hAnsi="仿宋_GB2312" w:eastAsia="仿宋_GB2312" w:cs="仿宋_GB2312"/>
                <w:color w:val="auto"/>
                <w:sz w:val="20"/>
                <w:szCs w:val="20"/>
                <w:highlight w:val="none"/>
              </w:rPr>
            </w:pPr>
          </w:p>
        </w:tc>
        <w:tc>
          <w:tcPr>
            <w:tcW w:w="6502"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★二、会期中英双语客服2人，服务期限4个月。要求如下：</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1.工作地点在南宁市区内,具体地点由采购方指定；</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2.学历为大专及以上；</w:t>
            </w:r>
            <w:r>
              <w:rPr>
                <w:rFonts w:hint="eastAsia" w:ascii="仿宋_GB2312" w:hAnsi="仿宋_GB2312" w:eastAsia="仿宋_GB2312" w:cs="仿宋_GB2312"/>
                <w:color w:val="auto"/>
                <w:sz w:val="20"/>
                <w:szCs w:val="20"/>
                <w:highlight w:val="none"/>
                <w:lang w:eastAsia="zh-CN"/>
              </w:rPr>
              <w:t>英语</w:t>
            </w:r>
            <w:r>
              <w:rPr>
                <w:rFonts w:hint="eastAsia" w:ascii="仿宋_GB2312" w:hAnsi="仿宋_GB2312" w:eastAsia="仿宋_GB2312" w:cs="仿宋_GB2312"/>
                <w:color w:val="auto"/>
                <w:sz w:val="20"/>
                <w:szCs w:val="20"/>
                <w:highlight w:val="none"/>
                <w:lang w:val="en-US" w:eastAsia="zh-CN"/>
              </w:rPr>
              <w:t>4级及以上</w:t>
            </w:r>
            <w:r>
              <w:rPr>
                <w:rFonts w:hint="eastAsia" w:ascii="仿宋_GB2312" w:hAnsi="仿宋_GB2312" w:eastAsia="仿宋_GB2312" w:cs="仿宋_GB2312"/>
                <w:color w:val="auto"/>
                <w:sz w:val="20"/>
                <w:szCs w:val="20"/>
                <w:highlight w:val="none"/>
              </w:rPr>
              <w:t>；</w:t>
            </w:r>
          </w:p>
          <w:p>
            <w:pPr>
              <w:keepNext w:val="0"/>
              <w:keepLines w:val="0"/>
              <w:widowControl/>
              <w:suppressLineNumbers w:val="0"/>
              <w:snapToGrid w:val="0"/>
              <w:spacing w:before="0" w:beforeAutospacing="0" w:after="0" w:afterAutospacing="0" w:line="300" w:lineRule="auto"/>
              <w:ind w:left="0" w:right="0"/>
              <w:jc w:val="left"/>
              <w:rPr>
                <w:rFonts w:hint="default"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3.需根据采购方的业务需要，参与培训上岗，协助采购方建立起运营力量；非会期需按照采购方的服务标准进行工作。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7" w:hRule="atLeast"/>
          <w:jc w:val="center"/>
        </w:trPr>
        <w:tc>
          <w:tcPr>
            <w:tcW w:w="534" w:type="dxa"/>
            <w:tcBorders>
              <w:left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line="300" w:lineRule="auto"/>
              <w:ind w:left="0" w:right="0"/>
              <w:jc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val="en-US" w:eastAsia="zh-CN" w:bidi="ar"/>
              </w:rPr>
              <w:t>3</w:t>
            </w:r>
          </w:p>
        </w:tc>
        <w:tc>
          <w:tcPr>
            <w:tcW w:w="832" w:type="dxa"/>
            <w:tcBorders>
              <w:left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line="300" w:lineRule="auto"/>
              <w:ind w:left="0" w:right="0"/>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中继线路服务</w:t>
            </w:r>
          </w:p>
        </w:tc>
        <w:tc>
          <w:tcPr>
            <w:tcW w:w="558" w:type="dxa"/>
            <w:tcBorders>
              <w:left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line="300" w:lineRule="auto"/>
              <w:ind w:left="0" w:right="0"/>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1</w:t>
            </w:r>
          </w:p>
        </w:tc>
        <w:tc>
          <w:tcPr>
            <w:tcW w:w="525" w:type="dxa"/>
            <w:tcBorders>
              <w:left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line="300" w:lineRule="auto"/>
              <w:ind w:left="0" w:right="0"/>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项</w:t>
            </w:r>
          </w:p>
        </w:tc>
        <w:tc>
          <w:tcPr>
            <w:tcW w:w="6502" w:type="dxa"/>
            <w:tcBorders>
              <w:top w:val="single" w:color="auto" w:sz="4" w:space="0"/>
              <w:left w:val="single" w:color="auto" w:sz="4" w:space="0"/>
              <w:right w:val="single" w:color="auto" w:sz="4" w:space="0"/>
            </w:tcBorders>
            <w:noWrap w:val="0"/>
            <w:vAlign w:val="top"/>
          </w:tcPr>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bCs/>
                <w:color w:val="auto"/>
                <w:sz w:val="20"/>
                <w:szCs w:val="20"/>
                <w:highlight w:val="none"/>
              </w:rPr>
            </w:pPr>
            <w:r>
              <w:rPr>
                <w:rFonts w:hint="eastAsia" w:ascii="仿宋_GB2312" w:hAnsi="仿宋_GB2312" w:eastAsia="仿宋_GB2312" w:cs="仿宋_GB2312"/>
                <w:bCs/>
                <w:color w:val="auto"/>
                <w:sz w:val="20"/>
                <w:szCs w:val="20"/>
                <w:highlight w:val="none"/>
              </w:rPr>
              <w:t>一、提供语音中继服务：</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bCs/>
                <w:color w:val="auto"/>
                <w:sz w:val="20"/>
                <w:szCs w:val="20"/>
                <w:highlight w:val="none"/>
              </w:rPr>
            </w:pPr>
            <w:r>
              <w:rPr>
                <w:rFonts w:hint="eastAsia" w:ascii="仿宋_GB2312" w:hAnsi="仿宋_GB2312" w:eastAsia="仿宋_GB2312" w:cs="仿宋_GB2312"/>
                <w:bCs/>
                <w:color w:val="auto"/>
                <w:sz w:val="20"/>
                <w:szCs w:val="20"/>
                <w:highlight w:val="none"/>
              </w:rPr>
              <w:t>★1、提供一条2M语音中继，支持30路坐席话务并发；线路要求采用基于硬管道的sdh/mstp技术接入；</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bCs/>
                <w:color w:val="auto"/>
                <w:sz w:val="20"/>
                <w:szCs w:val="20"/>
                <w:highlight w:val="none"/>
              </w:rPr>
            </w:pPr>
            <w:r>
              <w:rPr>
                <w:rFonts w:hint="eastAsia" w:ascii="仿宋_GB2312" w:hAnsi="仿宋_GB2312" w:eastAsia="仿宋_GB2312" w:cs="仿宋_GB2312"/>
                <w:bCs/>
                <w:color w:val="auto"/>
                <w:sz w:val="20"/>
                <w:szCs w:val="20"/>
                <w:highlight w:val="none"/>
              </w:rPr>
              <w:t>★2、根据采购方的业务需求可接入除了东博会热线号码以外的其他号码；</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bCs/>
                <w:color w:val="auto"/>
                <w:sz w:val="20"/>
                <w:szCs w:val="20"/>
                <w:highlight w:val="none"/>
              </w:rPr>
            </w:pPr>
            <w:r>
              <w:rPr>
                <w:rFonts w:hint="eastAsia" w:ascii="仿宋_GB2312" w:hAnsi="仿宋_GB2312" w:eastAsia="仿宋_GB2312" w:cs="仿宋_GB2312"/>
                <w:bCs/>
                <w:color w:val="auto"/>
                <w:sz w:val="20"/>
                <w:szCs w:val="20"/>
                <w:highlight w:val="none"/>
              </w:rPr>
              <w:t>二、免费提供语音接听服务；</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bCs/>
                <w:color w:val="auto"/>
                <w:sz w:val="20"/>
                <w:szCs w:val="20"/>
                <w:highlight w:val="none"/>
              </w:rPr>
            </w:pPr>
            <w:r>
              <w:rPr>
                <w:rFonts w:hint="eastAsia" w:ascii="仿宋_GB2312" w:hAnsi="仿宋_GB2312" w:eastAsia="仿宋_GB2312" w:cs="仿宋_GB2312"/>
                <w:bCs/>
                <w:color w:val="auto"/>
                <w:sz w:val="20"/>
                <w:szCs w:val="20"/>
                <w:highlight w:val="none"/>
              </w:rPr>
              <w:t>三、提供语音拨打服务，按实际产生费用结算；</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bCs/>
                <w:color w:val="auto"/>
                <w:sz w:val="20"/>
                <w:szCs w:val="20"/>
                <w:highlight w:val="none"/>
              </w:rPr>
            </w:pPr>
            <w:r>
              <w:rPr>
                <w:rFonts w:hint="eastAsia" w:ascii="仿宋_GB2312" w:hAnsi="仿宋_GB2312" w:eastAsia="仿宋_GB2312" w:cs="仿宋_GB2312"/>
                <w:bCs/>
                <w:color w:val="auto"/>
                <w:sz w:val="20"/>
                <w:szCs w:val="20"/>
                <w:highlight w:val="none"/>
              </w:rPr>
              <w:t>四、提供短信服务，按实际产生费用结算，三网融达。</w:t>
            </w:r>
          </w:p>
          <w:p>
            <w:pPr>
              <w:keepNext w:val="0"/>
              <w:keepLines w:val="0"/>
              <w:widowControl/>
              <w:suppressLineNumbers w:val="0"/>
              <w:snapToGrid w:val="0"/>
              <w:spacing w:before="0" w:beforeAutospacing="0" w:after="0" w:afterAutospacing="0" w:line="300" w:lineRule="auto"/>
              <w:ind w:left="0" w:right="0"/>
              <w:jc w:val="left"/>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bCs/>
                <w:color w:val="auto"/>
                <w:sz w:val="20"/>
                <w:szCs w:val="20"/>
                <w:highlight w:val="none"/>
                <w:lang w:val="en-US" w:eastAsia="zh-CN"/>
              </w:rPr>
              <w:t>五、提供固定电话号码一个。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8951" w:type="dxa"/>
            <w:gridSpan w:val="5"/>
            <w:tcBorders>
              <w:left w:val="single" w:color="auto" w:sz="4" w:space="0"/>
              <w:right w:val="single" w:color="auto" w:sz="4" w:space="0"/>
            </w:tcBorders>
            <w:noWrap w:val="0"/>
            <w:vAlign w:val="center"/>
          </w:tcPr>
          <w:p>
            <w:pPr>
              <w:pStyle w:val="6"/>
              <w:keepNext w:val="0"/>
              <w:keepLines w:val="0"/>
              <w:suppressLineNumbers w:val="0"/>
              <w:snapToGrid w:val="0"/>
              <w:spacing w:before="0" w:beforeAutospacing="0" w:afterAutospacing="0" w:line="300" w:lineRule="auto"/>
              <w:ind w:left="0" w:right="0"/>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b/>
                <w:bCs/>
                <w:color w:val="auto"/>
                <w:sz w:val="20"/>
                <w:szCs w:val="20"/>
                <w:highlight w:val="none"/>
              </w:rPr>
              <w:t>商务要求（不满足商务要求的竞标无效）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534" w:type="dxa"/>
            <w:tcBorders>
              <w:left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bCs/>
                <w:color w:val="auto"/>
                <w:sz w:val="20"/>
                <w:szCs w:val="20"/>
                <w:highlight w:val="none"/>
              </w:rPr>
            </w:pPr>
            <w:r>
              <w:rPr>
                <w:rFonts w:hint="eastAsia" w:ascii="仿宋_GB2312" w:hAnsi="仿宋_GB2312" w:eastAsia="仿宋_GB2312" w:cs="仿宋_GB2312"/>
                <w:bCs/>
                <w:color w:val="auto"/>
                <w:sz w:val="20"/>
                <w:szCs w:val="20"/>
                <w:highlight w:val="none"/>
              </w:rPr>
              <w:t>服务期限及地点</w:t>
            </w:r>
          </w:p>
        </w:tc>
        <w:tc>
          <w:tcPr>
            <w:tcW w:w="8417" w:type="dxa"/>
            <w:gridSpan w:val="4"/>
            <w:tcBorders>
              <w:left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bCs/>
                <w:color w:val="auto"/>
                <w:sz w:val="20"/>
                <w:szCs w:val="20"/>
                <w:highlight w:val="none"/>
              </w:rPr>
            </w:pPr>
            <w:r>
              <w:rPr>
                <w:rFonts w:hint="eastAsia" w:ascii="仿宋_GB2312" w:hAnsi="仿宋_GB2312" w:eastAsia="仿宋_GB2312" w:cs="仿宋_GB2312"/>
                <w:bCs/>
                <w:color w:val="auto"/>
                <w:sz w:val="20"/>
                <w:szCs w:val="20"/>
                <w:highlight w:val="none"/>
              </w:rPr>
              <w:t>一、合同签订期：自中标通知书发出之日起</w:t>
            </w:r>
            <w:r>
              <w:rPr>
                <w:rFonts w:hint="eastAsia" w:ascii="仿宋_GB2312" w:hAnsi="仿宋_GB2312" w:eastAsia="仿宋_GB2312" w:cs="仿宋_GB2312"/>
                <w:bCs/>
                <w:color w:val="auto"/>
                <w:sz w:val="20"/>
                <w:szCs w:val="20"/>
                <w:highlight w:val="none"/>
                <w:lang w:val="en-US" w:eastAsia="zh-CN"/>
              </w:rPr>
              <w:t>5</w:t>
            </w:r>
            <w:r>
              <w:rPr>
                <w:rFonts w:hint="eastAsia" w:ascii="仿宋_GB2312" w:hAnsi="仿宋_GB2312" w:eastAsia="仿宋_GB2312" w:cs="仿宋_GB2312"/>
                <w:bCs/>
                <w:color w:val="auto"/>
                <w:sz w:val="20"/>
                <w:szCs w:val="20"/>
                <w:highlight w:val="none"/>
              </w:rPr>
              <w:t>个工作日内。</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bCs/>
                <w:color w:val="auto"/>
                <w:sz w:val="20"/>
                <w:szCs w:val="20"/>
                <w:highlight w:val="none"/>
              </w:rPr>
            </w:pPr>
            <w:r>
              <w:rPr>
                <w:rFonts w:hint="eastAsia" w:ascii="仿宋_GB2312" w:hAnsi="仿宋_GB2312" w:eastAsia="仿宋_GB2312" w:cs="仿宋_GB2312"/>
                <w:bCs/>
                <w:color w:val="auto"/>
                <w:sz w:val="20"/>
                <w:szCs w:val="20"/>
                <w:highlight w:val="none"/>
              </w:rPr>
              <w:t>二、服务期限：服务期限为自合同签订之日起壹年。</w:t>
            </w:r>
          </w:p>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Cs/>
                <w:color w:val="auto"/>
                <w:sz w:val="20"/>
                <w:szCs w:val="20"/>
                <w:highlight w:val="none"/>
              </w:rPr>
            </w:pPr>
            <w:r>
              <w:rPr>
                <w:rFonts w:hint="eastAsia" w:ascii="仿宋_GB2312" w:hAnsi="仿宋_GB2312" w:eastAsia="仿宋_GB2312" w:cs="仿宋_GB2312"/>
                <w:bCs/>
                <w:color w:val="auto"/>
                <w:sz w:val="20"/>
                <w:szCs w:val="20"/>
                <w:highlight w:val="none"/>
              </w:rPr>
              <w:t>三、服务地点：采购方指定地点。</w:t>
            </w:r>
          </w:p>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Cs/>
                <w:color w:val="auto"/>
                <w:sz w:val="20"/>
                <w:szCs w:val="20"/>
                <w:highlight w:val="none"/>
                <w:lang w:val="en-US" w:eastAsia="zh-CN"/>
              </w:rPr>
            </w:pPr>
            <w:r>
              <w:rPr>
                <w:rFonts w:hint="eastAsia" w:ascii="仿宋_GB2312" w:hAnsi="仿宋_GB2312" w:eastAsia="仿宋_GB2312" w:cs="仿宋_GB2312"/>
                <w:bCs/>
                <w:color w:val="auto"/>
                <w:sz w:val="20"/>
                <w:szCs w:val="20"/>
                <w:highlight w:val="none"/>
                <w:lang w:val="en-US" w:eastAsia="zh-CN"/>
              </w:rPr>
              <w:t>四、服务成果提交时间：自合同签订之日起10天内。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534" w:type="dxa"/>
            <w:tcBorders>
              <w:left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bCs/>
                <w:color w:val="auto"/>
                <w:sz w:val="20"/>
                <w:szCs w:val="20"/>
                <w:highlight w:val="none"/>
              </w:rPr>
            </w:pPr>
            <w:r>
              <w:rPr>
                <w:rFonts w:hint="eastAsia" w:ascii="仿宋_GB2312" w:hAnsi="仿宋_GB2312" w:eastAsia="仿宋_GB2312" w:cs="仿宋_GB2312"/>
                <w:bCs/>
                <w:color w:val="auto"/>
                <w:sz w:val="20"/>
                <w:szCs w:val="20"/>
                <w:highlight w:val="none"/>
              </w:rPr>
              <w:t>付款方式</w:t>
            </w:r>
          </w:p>
        </w:tc>
        <w:tc>
          <w:tcPr>
            <w:tcW w:w="8417" w:type="dxa"/>
            <w:gridSpan w:val="4"/>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Cs/>
                <w:color w:val="auto"/>
                <w:sz w:val="20"/>
                <w:szCs w:val="20"/>
                <w:highlight w:val="none"/>
              </w:rPr>
            </w:pPr>
            <w:r>
              <w:rPr>
                <w:rFonts w:hint="eastAsia" w:ascii="仿宋_GB2312" w:hAnsi="仿宋_GB2312" w:eastAsia="仿宋_GB2312" w:cs="仿宋_GB2312"/>
                <w:bCs/>
                <w:color w:val="auto"/>
                <w:sz w:val="20"/>
                <w:szCs w:val="20"/>
                <w:highlight w:val="none"/>
              </w:rPr>
              <w:t>付款方式：采购方按合同约定支付合同款。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534" w:type="dxa"/>
            <w:tcBorders>
              <w:left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bCs/>
                <w:color w:val="auto"/>
                <w:sz w:val="20"/>
                <w:szCs w:val="20"/>
                <w:highlight w:val="none"/>
              </w:rPr>
            </w:pPr>
            <w:r>
              <w:rPr>
                <w:rFonts w:hint="eastAsia" w:ascii="仿宋_GB2312" w:hAnsi="仿宋_GB2312" w:eastAsia="仿宋_GB2312" w:cs="仿宋_GB2312"/>
                <w:bCs/>
                <w:color w:val="auto"/>
                <w:sz w:val="20"/>
                <w:szCs w:val="20"/>
                <w:highlight w:val="none"/>
              </w:rPr>
              <w:t>保密要求</w:t>
            </w:r>
          </w:p>
        </w:tc>
        <w:tc>
          <w:tcPr>
            <w:tcW w:w="8417" w:type="dxa"/>
            <w:gridSpan w:val="4"/>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Cs/>
                <w:color w:val="auto"/>
                <w:sz w:val="20"/>
                <w:szCs w:val="20"/>
                <w:highlight w:val="none"/>
              </w:rPr>
            </w:pPr>
            <w:r>
              <w:rPr>
                <w:rFonts w:hint="eastAsia" w:ascii="仿宋_GB2312" w:hAnsi="仿宋_GB2312" w:eastAsia="仿宋_GB2312" w:cs="仿宋_GB2312"/>
                <w:bCs/>
                <w:color w:val="auto"/>
                <w:sz w:val="20"/>
                <w:szCs w:val="20"/>
                <w:highlight w:val="none"/>
              </w:rPr>
              <w:t>供应商应对采购方提供的所有资料（文字、图纸、电子数据）等商业机密保密，不得向第三方泄露任何关于项目采购方提供的资料及项目情况。如发生以上情况并给采购方造成损失的，采购方保留依据法律向供应商索赔的权利，供应商应承担相关的法律责任及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9" w:hRule="atLeast"/>
          <w:jc w:val="center"/>
        </w:trPr>
        <w:tc>
          <w:tcPr>
            <w:tcW w:w="534" w:type="dxa"/>
            <w:tcBorders>
              <w:left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bCs/>
                <w:color w:val="auto"/>
                <w:sz w:val="20"/>
                <w:szCs w:val="20"/>
                <w:highlight w:val="none"/>
              </w:rPr>
            </w:pPr>
            <w:r>
              <w:rPr>
                <w:rFonts w:hint="eastAsia" w:ascii="仿宋_GB2312" w:hAnsi="仿宋_GB2312" w:eastAsia="仿宋_GB2312" w:cs="仿宋_GB2312"/>
                <w:bCs/>
                <w:color w:val="auto"/>
                <w:sz w:val="20"/>
                <w:szCs w:val="20"/>
                <w:highlight w:val="none"/>
              </w:rPr>
              <w:t>其他要求</w:t>
            </w:r>
          </w:p>
        </w:tc>
        <w:tc>
          <w:tcPr>
            <w:tcW w:w="8417" w:type="dxa"/>
            <w:gridSpan w:val="4"/>
            <w:tcBorders>
              <w:left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bCs/>
                <w:color w:val="auto"/>
                <w:sz w:val="20"/>
                <w:szCs w:val="20"/>
                <w:highlight w:val="none"/>
              </w:rPr>
            </w:pPr>
            <w:r>
              <w:rPr>
                <w:rFonts w:hint="eastAsia" w:ascii="仿宋_GB2312" w:hAnsi="仿宋_GB2312" w:eastAsia="仿宋_GB2312" w:cs="仿宋_GB2312"/>
                <w:bCs/>
                <w:color w:val="auto"/>
                <w:sz w:val="20"/>
                <w:szCs w:val="20"/>
                <w:highlight w:val="none"/>
              </w:rPr>
              <w:t>一、本项目为服务成果整体交付应用项目，按服务总价包干，采购方不对项目达到成果水平报的服务、货物、施工等一切内容追加支付费用，而由中标供应商在合同价内全部提供或解决。</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bCs/>
                <w:color w:val="auto"/>
                <w:sz w:val="20"/>
                <w:szCs w:val="20"/>
                <w:highlight w:val="none"/>
              </w:rPr>
            </w:pPr>
            <w:r>
              <w:rPr>
                <w:rFonts w:hint="eastAsia" w:ascii="仿宋_GB2312" w:hAnsi="仿宋_GB2312" w:eastAsia="仿宋_GB2312" w:cs="仿宋_GB2312"/>
                <w:bCs/>
                <w:color w:val="auto"/>
                <w:sz w:val="20"/>
                <w:szCs w:val="20"/>
                <w:highlight w:val="none"/>
              </w:rPr>
              <w:t>包括：</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bCs/>
                <w:color w:val="auto"/>
                <w:sz w:val="20"/>
                <w:szCs w:val="20"/>
                <w:highlight w:val="none"/>
              </w:rPr>
            </w:pPr>
            <w:r>
              <w:rPr>
                <w:rFonts w:hint="eastAsia" w:ascii="仿宋_GB2312" w:hAnsi="仿宋_GB2312" w:eastAsia="仿宋_GB2312" w:cs="仿宋_GB2312"/>
                <w:bCs/>
                <w:color w:val="auto"/>
                <w:sz w:val="20"/>
                <w:szCs w:val="20"/>
                <w:highlight w:val="none"/>
              </w:rPr>
              <w:t>（1）服务的价格；</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bCs/>
                <w:color w:val="auto"/>
                <w:sz w:val="20"/>
                <w:szCs w:val="20"/>
                <w:highlight w:val="none"/>
              </w:rPr>
            </w:pPr>
            <w:r>
              <w:rPr>
                <w:rFonts w:hint="eastAsia" w:ascii="仿宋_GB2312" w:hAnsi="仿宋_GB2312" w:eastAsia="仿宋_GB2312" w:cs="仿宋_GB2312"/>
                <w:bCs/>
                <w:color w:val="auto"/>
                <w:sz w:val="20"/>
                <w:szCs w:val="20"/>
                <w:highlight w:val="none"/>
              </w:rPr>
              <w:t>（2）相关标准附件、备品备件、专用工具的价格；</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bCs/>
                <w:color w:val="auto"/>
                <w:sz w:val="20"/>
                <w:szCs w:val="20"/>
                <w:highlight w:val="none"/>
              </w:rPr>
            </w:pPr>
            <w:r>
              <w:rPr>
                <w:rFonts w:hint="eastAsia" w:ascii="仿宋_GB2312" w:hAnsi="仿宋_GB2312" w:eastAsia="仿宋_GB2312" w:cs="仿宋_GB2312"/>
                <w:bCs/>
                <w:color w:val="auto"/>
                <w:sz w:val="20"/>
                <w:szCs w:val="20"/>
                <w:highlight w:val="none"/>
              </w:rPr>
              <w:t>（3）运输、装卸、调试、培训、技术支持、现场服务等费用；</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bCs/>
                <w:color w:val="auto"/>
                <w:sz w:val="20"/>
                <w:szCs w:val="20"/>
                <w:highlight w:val="none"/>
              </w:rPr>
            </w:pPr>
            <w:r>
              <w:rPr>
                <w:rFonts w:hint="eastAsia" w:ascii="仿宋_GB2312" w:hAnsi="仿宋_GB2312" w:eastAsia="仿宋_GB2312" w:cs="仿宋_GB2312"/>
                <w:bCs/>
                <w:color w:val="auto"/>
                <w:sz w:val="20"/>
                <w:szCs w:val="20"/>
                <w:highlight w:val="none"/>
              </w:rPr>
              <w:t>（4）必要的保险费用和各项税费；</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bCs/>
                <w:color w:val="auto"/>
                <w:sz w:val="20"/>
                <w:szCs w:val="20"/>
                <w:highlight w:val="none"/>
              </w:rPr>
            </w:pPr>
            <w:r>
              <w:rPr>
                <w:rFonts w:hint="eastAsia" w:ascii="仿宋_GB2312" w:hAnsi="仿宋_GB2312" w:eastAsia="仿宋_GB2312" w:cs="仿宋_GB2312"/>
                <w:bCs/>
                <w:color w:val="auto"/>
                <w:sz w:val="20"/>
                <w:szCs w:val="20"/>
                <w:highlight w:val="none"/>
              </w:rPr>
              <w:t>（5）包括安装费用；</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bCs/>
                <w:color w:val="auto"/>
                <w:sz w:val="20"/>
                <w:szCs w:val="20"/>
                <w:highlight w:val="none"/>
              </w:rPr>
            </w:pPr>
            <w:r>
              <w:rPr>
                <w:rFonts w:hint="eastAsia" w:ascii="仿宋_GB2312" w:hAnsi="仿宋_GB2312" w:eastAsia="仿宋_GB2312" w:cs="仿宋_GB2312"/>
                <w:bCs/>
                <w:color w:val="auto"/>
                <w:sz w:val="20"/>
                <w:szCs w:val="20"/>
                <w:highlight w:val="none"/>
              </w:rPr>
              <w:t>（6）验收的费用。</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bCs/>
                <w:color w:val="auto"/>
                <w:sz w:val="20"/>
                <w:szCs w:val="20"/>
                <w:highlight w:val="none"/>
              </w:rPr>
            </w:pPr>
            <w:r>
              <w:rPr>
                <w:rFonts w:hint="eastAsia" w:ascii="仿宋_GB2312" w:hAnsi="仿宋_GB2312" w:eastAsia="仿宋_GB2312" w:cs="仿宋_GB2312"/>
                <w:bCs/>
                <w:color w:val="auto"/>
                <w:sz w:val="20"/>
                <w:szCs w:val="20"/>
                <w:highlight w:val="none"/>
              </w:rPr>
              <w:t>二、协助采购方建立相应的客服热线管理制度及执行管理办法。</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bCs/>
                <w:color w:val="auto"/>
                <w:sz w:val="20"/>
                <w:szCs w:val="20"/>
                <w:highlight w:val="none"/>
              </w:rPr>
            </w:pPr>
            <w:r>
              <w:rPr>
                <w:rFonts w:hint="eastAsia" w:ascii="仿宋_GB2312" w:hAnsi="仿宋_GB2312" w:eastAsia="仿宋_GB2312" w:cs="仿宋_GB2312"/>
                <w:bCs/>
                <w:color w:val="auto"/>
                <w:sz w:val="20"/>
                <w:szCs w:val="20"/>
                <w:highlight w:val="none"/>
              </w:rPr>
              <w:t>★三、在本项目合同到期时，中标方应保持呼叫系统及线路号码不低于3个月畅通状态，以便有足够时间完成下一阶段合同手续。</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bCs/>
                <w:color w:val="auto"/>
                <w:sz w:val="20"/>
                <w:szCs w:val="20"/>
                <w:highlight w:val="none"/>
              </w:rPr>
            </w:pPr>
            <w:r>
              <w:rPr>
                <w:rFonts w:hint="eastAsia" w:ascii="仿宋_GB2312" w:hAnsi="仿宋_GB2312" w:eastAsia="仿宋_GB2312" w:cs="仿宋_GB2312"/>
                <w:bCs/>
                <w:color w:val="auto"/>
                <w:sz w:val="20"/>
                <w:szCs w:val="20"/>
                <w:highlight w:val="none"/>
              </w:rPr>
              <w:t>四、提供不少于3场客服业务培训。</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bCs/>
                <w:color w:val="auto"/>
                <w:sz w:val="20"/>
                <w:szCs w:val="20"/>
                <w:highlight w:val="none"/>
              </w:rPr>
            </w:pPr>
            <w:r>
              <w:rPr>
                <w:rFonts w:hint="eastAsia" w:ascii="仿宋_GB2312" w:hAnsi="仿宋_GB2312" w:eastAsia="仿宋_GB2312" w:cs="仿宋_GB2312"/>
                <w:bCs/>
                <w:color w:val="auto"/>
                <w:sz w:val="20"/>
                <w:szCs w:val="20"/>
                <w:highlight w:val="none"/>
              </w:rPr>
              <w:t>五、系统出现故障及其他问题时，中标方响应时间不低于1个小时，并解决问题，到达现场响应时间不低于2个小时，并解决问题，重大故障不低于24小时解决。</w:t>
            </w:r>
          </w:p>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Cs/>
                <w:color w:val="auto"/>
                <w:sz w:val="20"/>
                <w:szCs w:val="20"/>
                <w:highlight w:val="none"/>
              </w:rPr>
            </w:pPr>
            <w:r>
              <w:rPr>
                <w:rFonts w:hint="eastAsia" w:ascii="仿宋_GB2312" w:hAnsi="仿宋_GB2312" w:eastAsia="仿宋_GB2312" w:cs="仿宋_GB2312"/>
                <w:bCs/>
                <w:color w:val="auto"/>
                <w:sz w:val="20"/>
                <w:szCs w:val="20"/>
                <w:highlight w:val="none"/>
              </w:rPr>
              <w:t>六、投标人要对新冠肺炎疫情影响的相关因素予以充分考虑，必须考虑不可预见、不可抗力、新冠病毒疫情的情况导致项目取消的风险，因新冠病毒疫情导致项目取消，前期所投入项目的服务成本由投标人自行承担。</w:t>
            </w:r>
          </w:p>
        </w:tc>
      </w:tr>
    </w:tbl>
    <w:p>
      <w:pPr>
        <w:rPr>
          <w:rFonts w:hint="eastAsia" w:eastAsia="华文中宋"/>
          <w:color w:val="auto"/>
          <w:sz w:val="32"/>
          <w:szCs w:val="32"/>
          <w:highlight w:val="none"/>
        </w:rPr>
      </w:pPr>
    </w:p>
    <w:p>
      <w:pPr>
        <w:jc w:val="left"/>
        <w:outlineLvl w:val="9"/>
        <w:rPr>
          <w:rFonts w:hint="eastAsia" w:eastAsia="华文中宋"/>
          <w:color w:val="auto"/>
          <w:sz w:val="32"/>
          <w:szCs w:val="32"/>
          <w:highlight w:val="none"/>
        </w:rPr>
      </w:pPr>
      <w:r>
        <w:rPr>
          <w:rFonts w:hint="eastAsia" w:eastAsia="华文中宋"/>
          <w:color w:val="auto"/>
          <w:sz w:val="32"/>
          <w:szCs w:val="32"/>
          <w:highlight w:val="none"/>
        </w:rPr>
        <w:br w:type="page"/>
      </w:r>
    </w:p>
    <w:p>
      <w:pPr>
        <w:tabs>
          <w:tab w:val="left" w:pos="632"/>
        </w:tabs>
        <w:jc w:val="center"/>
        <w:outlineLvl w:val="0"/>
        <w:rPr>
          <w:rFonts w:hint="eastAsia" w:eastAsia="华文中宋"/>
          <w:color w:val="auto"/>
          <w:sz w:val="32"/>
          <w:szCs w:val="32"/>
          <w:highlight w:val="none"/>
        </w:rPr>
      </w:pPr>
      <w:bookmarkStart w:id="10" w:name="_Toc27613"/>
      <w:r>
        <w:rPr>
          <w:rFonts w:hint="eastAsia" w:eastAsia="华文中宋"/>
          <w:color w:val="auto"/>
          <w:sz w:val="32"/>
          <w:szCs w:val="32"/>
          <w:highlight w:val="none"/>
        </w:rPr>
        <w:t>第</w:t>
      </w:r>
      <w:r>
        <w:rPr>
          <w:rFonts w:eastAsia="华文中宋"/>
          <w:color w:val="auto"/>
          <w:sz w:val="32"/>
          <w:szCs w:val="32"/>
          <w:highlight w:val="none"/>
        </w:rPr>
        <w:t>三</w:t>
      </w:r>
      <w:r>
        <w:rPr>
          <w:rFonts w:hint="eastAsia" w:eastAsia="华文中宋"/>
          <w:color w:val="auto"/>
          <w:sz w:val="32"/>
          <w:szCs w:val="32"/>
          <w:highlight w:val="none"/>
        </w:rPr>
        <w:t>章</w:t>
      </w:r>
      <w:r>
        <w:rPr>
          <w:rFonts w:eastAsia="华文中宋"/>
          <w:color w:val="auto"/>
          <w:sz w:val="32"/>
          <w:szCs w:val="32"/>
          <w:highlight w:val="none"/>
        </w:rPr>
        <w:t xml:space="preserve">  供应商</w:t>
      </w:r>
      <w:r>
        <w:rPr>
          <w:rFonts w:hint="eastAsia" w:eastAsia="华文中宋"/>
          <w:color w:val="auto"/>
          <w:sz w:val="32"/>
          <w:szCs w:val="32"/>
          <w:highlight w:val="none"/>
        </w:rPr>
        <w:t>须知</w:t>
      </w:r>
      <w:bookmarkEnd w:id="8"/>
      <w:bookmarkEnd w:id="10"/>
    </w:p>
    <w:p>
      <w:pPr>
        <w:pStyle w:val="34"/>
        <w:rPr>
          <w:color w:val="auto"/>
          <w:highlight w:val="none"/>
        </w:rPr>
      </w:pPr>
    </w:p>
    <w:p>
      <w:pPr>
        <w:tabs>
          <w:tab w:val="left" w:pos="632"/>
        </w:tabs>
        <w:jc w:val="center"/>
        <w:outlineLvl w:val="1"/>
        <w:rPr>
          <w:rFonts w:hint="eastAsia" w:eastAsia="华文中宋"/>
          <w:color w:val="auto"/>
          <w:sz w:val="28"/>
          <w:szCs w:val="28"/>
          <w:highlight w:val="none"/>
        </w:rPr>
      </w:pPr>
      <w:bookmarkStart w:id="11" w:name="_Toc6856"/>
      <w:r>
        <w:rPr>
          <w:rFonts w:eastAsia="华文中宋"/>
          <w:color w:val="auto"/>
          <w:sz w:val="28"/>
          <w:szCs w:val="28"/>
          <w:highlight w:val="none"/>
        </w:rPr>
        <w:t>供应商</w:t>
      </w:r>
      <w:r>
        <w:rPr>
          <w:rFonts w:hint="eastAsia" w:eastAsia="华文中宋"/>
          <w:color w:val="auto"/>
          <w:sz w:val="28"/>
          <w:szCs w:val="28"/>
          <w:highlight w:val="none"/>
        </w:rPr>
        <w:t>须知前附表</w:t>
      </w:r>
      <w:bookmarkEnd w:id="11"/>
    </w:p>
    <w:p>
      <w:pPr>
        <w:pStyle w:val="34"/>
        <w:rPr>
          <w:color w:val="auto"/>
          <w:highlight w:val="none"/>
        </w:rPr>
      </w:pPr>
    </w:p>
    <w:p>
      <w:pPr>
        <w:tabs>
          <w:tab w:val="left" w:pos="632"/>
          <w:tab w:val="left" w:pos="790"/>
          <w:tab w:val="left" w:pos="1580"/>
        </w:tabs>
        <w:spacing w:before="78" w:beforeLines="25" w:after="78" w:afterLines="25" w:line="440" w:lineRule="exact"/>
        <w:ind w:right="-105" w:rightChars="-50"/>
        <w:jc w:val="center"/>
        <w:rPr>
          <w:rFonts w:hint="eastAsia" w:eastAsia="仿宋_GB2312"/>
          <w:color w:val="auto"/>
          <w:sz w:val="24"/>
          <w:highlight w:val="none"/>
        </w:rPr>
      </w:pPr>
      <w:r>
        <w:rPr>
          <w:rFonts w:hint="eastAsia"/>
          <w:b/>
          <w:bCs/>
          <w:color w:val="auto"/>
          <w:sz w:val="24"/>
          <w:highlight w:val="none"/>
        </w:rPr>
        <w:t>注：</w:t>
      </w:r>
      <w:r>
        <w:rPr>
          <w:rFonts w:hint="eastAsia" w:eastAsia="仿宋_GB2312"/>
          <w:color w:val="auto"/>
          <w:sz w:val="24"/>
          <w:highlight w:val="none"/>
        </w:rPr>
        <w:t>本磋商文件请磋商供应商认真阅读，任何遗漏或疏忽都有可能导致无效标书或废标。</w:t>
      </w:r>
    </w:p>
    <w:p>
      <w:pPr>
        <w:pStyle w:val="34"/>
        <w:rPr>
          <w:color w:val="auto"/>
          <w:highlight w:val="none"/>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953"/>
        <w:gridCol w:w="6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64"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项号</w:t>
            </w:r>
          </w:p>
          <w:p>
            <w:pPr>
              <w:pStyle w:val="34"/>
              <w:keepNext w:val="0"/>
              <w:keepLines w:val="0"/>
              <w:suppressLineNumbers w:val="0"/>
              <w:spacing w:before="0" w:beforeAutospacing="0" w:after="0" w:afterAutospacing="0"/>
              <w:ind w:left="0" w:right="0"/>
              <w:rPr>
                <w:rFonts w:hint="eastAsia" w:ascii="仿宋_GB2312" w:hAnsi="仿宋_GB2312" w:eastAsia="仿宋_GB2312" w:cs="仿宋_GB2312"/>
                <w:color w:val="auto"/>
                <w:highlight w:val="none"/>
              </w:rPr>
            </w:pPr>
          </w:p>
        </w:tc>
        <w:tc>
          <w:tcPr>
            <w:tcW w:w="1953"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内容</w:t>
            </w:r>
          </w:p>
          <w:p>
            <w:pPr>
              <w:pStyle w:val="34"/>
              <w:keepNext w:val="0"/>
              <w:keepLines w:val="0"/>
              <w:suppressLineNumbers w:val="0"/>
              <w:spacing w:before="0" w:beforeAutospacing="0" w:after="0" w:afterAutospacing="0"/>
              <w:ind w:left="0" w:right="0"/>
              <w:rPr>
                <w:rFonts w:hint="eastAsia" w:ascii="仿宋_GB2312" w:hAnsi="仿宋_GB2312" w:eastAsia="仿宋_GB2312" w:cs="仿宋_GB2312"/>
                <w:color w:val="auto"/>
                <w:highlight w:val="none"/>
              </w:rPr>
            </w:pPr>
          </w:p>
        </w:tc>
        <w:tc>
          <w:tcPr>
            <w:tcW w:w="6463" w:type="dxa"/>
            <w:noWrap w:val="0"/>
            <w:vAlign w:val="center"/>
          </w:tcPr>
          <w:p>
            <w:pPr>
              <w:keepNext w:val="0"/>
              <w:keepLines w:val="0"/>
              <w:suppressLineNumbers w:val="0"/>
              <w:spacing w:before="0" w:beforeAutospacing="0" w:after="0" w:afterAutospacing="0" w:line="440" w:lineRule="exact"/>
              <w:ind w:left="0" w:right="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说 明 与 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764"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b/>
                <w:bCs/>
                <w:color w:val="auto"/>
                <w:sz w:val="24"/>
                <w:highlight w:val="none"/>
              </w:rPr>
              <w:t>1</w:t>
            </w:r>
          </w:p>
        </w:tc>
        <w:tc>
          <w:tcPr>
            <w:tcW w:w="19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b/>
                <w:bCs/>
                <w:color w:val="auto"/>
                <w:sz w:val="24"/>
                <w:highlight w:val="none"/>
              </w:rPr>
              <w:t>项目名称</w:t>
            </w:r>
          </w:p>
        </w:tc>
        <w:tc>
          <w:tcPr>
            <w:tcW w:w="6463" w:type="dxa"/>
            <w:tcBorders>
              <w:top w:val="single" w:color="auto" w:sz="4" w:space="0"/>
              <w:left w:val="single" w:color="auto" w:sz="4" w:space="0"/>
              <w:bottom w:val="single" w:color="auto" w:sz="4" w:space="0"/>
            </w:tcBorders>
            <w:noWrap w:val="0"/>
            <w:vAlign w:val="center"/>
          </w:tcPr>
          <w:p>
            <w:pPr>
              <w:keepNext w:val="0"/>
              <w:keepLines w:val="0"/>
              <w:suppressLineNumbers w:val="0"/>
              <w:spacing w:before="0" w:beforeAutospacing="0" w:after="0" w:afterAutospacing="0" w:line="320" w:lineRule="exact"/>
              <w:ind w:left="0" w:right="0"/>
              <w:rPr>
                <w:rFonts w:hint="eastAsia" w:ascii="仿宋_GB2312" w:hAnsi="仿宋_GB2312" w:eastAsia="仿宋_GB2312" w:cs="仿宋_GB2312"/>
                <w:i/>
                <w:iCs/>
                <w:color w:val="auto"/>
                <w:sz w:val="24"/>
                <w:szCs w:val="24"/>
                <w:highlight w:val="none"/>
              </w:rPr>
            </w:pPr>
            <w:r>
              <w:rPr>
                <w:rFonts w:hint="eastAsia" w:ascii="仿宋_GB2312" w:hAnsi="仿宋_GB2312" w:eastAsia="仿宋_GB2312" w:cs="仿宋_GB2312"/>
                <w:bCs/>
                <w:color w:val="auto"/>
                <w:sz w:val="24"/>
                <w:szCs w:val="24"/>
                <w:highlight w:val="none"/>
              </w:rPr>
              <w:t>呼叫中心系统采购服务项目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764"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b/>
                <w:bCs/>
                <w:color w:val="auto"/>
                <w:sz w:val="24"/>
                <w:highlight w:val="none"/>
              </w:rPr>
              <w:t>2</w:t>
            </w:r>
          </w:p>
        </w:tc>
        <w:tc>
          <w:tcPr>
            <w:tcW w:w="19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b/>
                <w:bCs/>
                <w:color w:val="auto"/>
                <w:sz w:val="24"/>
                <w:highlight w:val="none"/>
              </w:rPr>
              <w:t>服务地点</w:t>
            </w:r>
          </w:p>
        </w:tc>
        <w:tc>
          <w:tcPr>
            <w:tcW w:w="6463" w:type="dxa"/>
            <w:tcBorders>
              <w:top w:val="single" w:color="auto" w:sz="4" w:space="0"/>
              <w:left w:val="single" w:color="auto" w:sz="4" w:space="0"/>
              <w:bottom w:val="single" w:color="auto" w:sz="4" w:space="0"/>
            </w:tcBorders>
            <w:noWrap w:val="0"/>
            <w:vAlign w:val="center"/>
          </w:tcPr>
          <w:p>
            <w:pPr>
              <w:keepNext w:val="0"/>
              <w:keepLines w:val="0"/>
              <w:suppressLineNumbers w:val="0"/>
              <w:spacing w:before="0" w:beforeAutospacing="0" w:after="0" w:afterAutospacing="0" w:line="320" w:lineRule="exact"/>
              <w:ind w:left="0" w:right="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Cs/>
                <w:color w:val="auto"/>
                <w:sz w:val="24"/>
                <w:szCs w:val="24"/>
                <w:highlight w:val="none"/>
              </w:rPr>
              <w:t>采购方指定地点。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764"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b/>
                <w:bCs/>
                <w:color w:val="auto"/>
                <w:sz w:val="24"/>
                <w:highlight w:val="none"/>
              </w:rPr>
              <w:t>3</w:t>
            </w:r>
          </w:p>
        </w:tc>
        <w:tc>
          <w:tcPr>
            <w:tcW w:w="19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b/>
                <w:bCs/>
                <w:color w:val="auto"/>
                <w:sz w:val="24"/>
                <w:highlight w:val="none"/>
              </w:rPr>
              <w:t>服务期限</w:t>
            </w:r>
          </w:p>
        </w:tc>
        <w:tc>
          <w:tcPr>
            <w:tcW w:w="6463" w:type="dxa"/>
            <w:tcBorders>
              <w:top w:val="single" w:color="auto" w:sz="4" w:space="0"/>
              <w:left w:val="single" w:color="auto" w:sz="4" w:space="0"/>
              <w:bottom w:val="single" w:color="auto" w:sz="4" w:space="0"/>
            </w:tcBorders>
            <w:noWrap w:val="0"/>
            <w:vAlign w:val="center"/>
          </w:tcPr>
          <w:p>
            <w:pPr>
              <w:keepNext w:val="0"/>
              <w:keepLines w:val="0"/>
              <w:suppressLineNumbers w:val="0"/>
              <w:spacing w:before="0" w:beforeAutospacing="0" w:after="0" w:afterAutospacing="0" w:line="320" w:lineRule="exact"/>
              <w:ind w:left="0" w:right="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Cs/>
                <w:color w:val="auto"/>
                <w:sz w:val="24"/>
                <w:szCs w:val="24"/>
                <w:highlight w:val="none"/>
              </w:rPr>
              <w:t>服务期限为自合同签订之日起壹年。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764"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b/>
                <w:bCs/>
                <w:color w:val="auto"/>
                <w:sz w:val="24"/>
                <w:highlight w:val="none"/>
              </w:rPr>
              <w:t>4</w:t>
            </w:r>
          </w:p>
        </w:tc>
        <w:tc>
          <w:tcPr>
            <w:tcW w:w="19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b/>
                <w:bCs/>
                <w:color w:val="auto"/>
                <w:sz w:val="24"/>
                <w:highlight w:val="none"/>
              </w:rPr>
              <w:t>服务现场</w:t>
            </w:r>
          </w:p>
        </w:tc>
        <w:tc>
          <w:tcPr>
            <w:tcW w:w="6463" w:type="dxa"/>
            <w:tcBorders>
              <w:top w:val="single" w:color="auto" w:sz="4" w:space="0"/>
              <w:left w:val="single" w:color="auto" w:sz="4" w:space="0"/>
              <w:bottom w:val="single" w:color="auto" w:sz="4" w:space="0"/>
            </w:tcBorders>
            <w:noWrap w:val="0"/>
            <w:vAlign w:val="center"/>
          </w:tcPr>
          <w:p>
            <w:pPr>
              <w:keepNext w:val="0"/>
              <w:keepLines w:val="0"/>
              <w:suppressLineNumbers w:val="0"/>
              <w:spacing w:before="0" w:beforeAutospacing="0" w:after="0" w:afterAutospacing="0" w:line="320" w:lineRule="exact"/>
              <w:ind w:left="0" w:right="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自行踏勘服务现场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764"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b/>
                <w:bCs/>
                <w:color w:val="auto"/>
                <w:sz w:val="24"/>
                <w:highlight w:val="none"/>
              </w:rPr>
              <w:t>5</w:t>
            </w:r>
          </w:p>
        </w:tc>
        <w:tc>
          <w:tcPr>
            <w:tcW w:w="19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b/>
                <w:bCs/>
                <w:color w:val="auto"/>
                <w:sz w:val="24"/>
                <w:highlight w:val="none"/>
              </w:rPr>
              <w:t>方案</w:t>
            </w:r>
          </w:p>
        </w:tc>
        <w:tc>
          <w:tcPr>
            <w:tcW w:w="6463" w:type="dxa"/>
            <w:tcBorders>
              <w:top w:val="single" w:color="auto" w:sz="4" w:space="0"/>
              <w:left w:val="single" w:color="auto" w:sz="4" w:space="0"/>
              <w:bottom w:val="single" w:color="auto" w:sz="4" w:space="0"/>
            </w:tcBorders>
            <w:noWrap w:val="0"/>
            <w:vAlign w:val="center"/>
          </w:tcPr>
          <w:p>
            <w:pPr>
              <w:keepNext w:val="0"/>
              <w:keepLines w:val="0"/>
              <w:suppressLineNumbers w:val="0"/>
              <w:spacing w:before="0" w:beforeAutospacing="0" w:after="0" w:afterAutospacing="0" w:line="320" w:lineRule="exact"/>
              <w:ind w:left="0" w:right="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投标文件中提供技术方案、实施方案、</w:t>
            </w:r>
            <w:r>
              <w:rPr>
                <w:rFonts w:hint="eastAsia" w:ascii="仿宋_GB2312" w:hAnsi="仿宋_GB2312" w:eastAsia="仿宋_GB2312" w:cs="仿宋_GB2312"/>
                <w:color w:val="auto"/>
                <w:sz w:val="24"/>
                <w:szCs w:val="24"/>
                <w:highlight w:val="none"/>
                <w:lang w:eastAsia="zh-CN"/>
              </w:rPr>
              <w:t>售后服务方案</w:t>
            </w:r>
            <w:r>
              <w:rPr>
                <w:rFonts w:hint="eastAsia" w:ascii="仿宋_GB2312" w:hAnsi="仿宋_GB2312" w:eastAsia="仿宋_GB2312" w:cs="仿宋_GB2312"/>
                <w:color w:val="auto"/>
                <w:sz w:val="24"/>
                <w:szCs w:val="24"/>
                <w:highlight w:val="none"/>
              </w:rPr>
              <w:t>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7" w:hRule="atLeast"/>
        </w:trPr>
        <w:tc>
          <w:tcPr>
            <w:tcW w:w="764"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b/>
                <w:bCs/>
                <w:color w:val="auto"/>
                <w:sz w:val="24"/>
                <w:highlight w:val="none"/>
              </w:rPr>
              <w:t>6</w:t>
            </w:r>
          </w:p>
        </w:tc>
        <w:tc>
          <w:tcPr>
            <w:tcW w:w="19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b/>
                <w:bCs/>
                <w:color w:val="auto"/>
                <w:sz w:val="24"/>
                <w:highlight w:val="none"/>
              </w:rPr>
              <w:t>磋商供应商资格</w:t>
            </w:r>
          </w:p>
        </w:tc>
        <w:tc>
          <w:tcPr>
            <w:tcW w:w="6463" w:type="dxa"/>
            <w:tcBorders>
              <w:top w:val="single" w:color="auto" w:sz="4" w:space="0"/>
              <w:left w:val="single" w:color="auto" w:sz="4" w:space="0"/>
              <w:bottom w:val="single" w:color="auto" w:sz="4" w:space="0"/>
            </w:tcBorders>
            <w:noWrap w:val="0"/>
            <w:vAlign w:val="center"/>
          </w:tcPr>
          <w:p>
            <w:pPr>
              <w:keepNext w:val="0"/>
              <w:keepLines w:val="0"/>
              <w:suppressLineNumbers w:val="0"/>
              <w:spacing w:before="0" w:beforeAutospacing="0" w:after="0" w:afterAutospacing="0" w:line="288" w:lineRule="auto"/>
              <w:ind w:left="0" w:right="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1、国内注册（指按国家有关规定要求注册的），提供本次竞争性磋商采购服务，具备法人资格的供应商或其下属分支机构；</w:t>
            </w:r>
          </w:p>
          <w:p>
            <w:pPr>
              <w:keepNext w:val="0"/>
              <w:keepLines w:val="0"/>
              <w:suppressLineNumbers w:val="0"/>
              <w:spacing w:before="0" w:beforeAutospacing="0" w:after="0" w:afterAutospacing="0" w:line="288" w:lineRule="auto"/>
              <w:ind w:left="0" w:right="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2、诚实守信，近三年内无违法及不良诚信记录；</w:t>
            </w:r>
          </w:p>
          <w:p>
            <w:pPr>
              <w:keepNext w:val="0"/>
              <w:keepLines w:val="0"/>
              <w:suppressLineNumbers w:val="0"/>
              <w:spacing w:before="0" w:beforeAutospacing="0" w:after="0" w:afterAutospacing="0" w:line="288" w:lineRule="auto"/>
              <w:ind w:left="0" w:right="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3、对在“信用中国”网站(www.creditchina.gov.cn)、中国政府采购网(www.ccgp.gov.cn)等渠道列入失信被执行人、重大税收违法案件当事人名单、政府采购严重违法失信行为记录名单的供应商，不得参与本次招标采购活动；</w:t>
            </w:r>
          </w:p>
          <w:p>
            <w:pPr>
              <w:keepNext w:val="0"/>
              <w:keepLines w:val="0"/>
              <w:suppressLineNumbers w:val="0"/>
              <w:spacing w:before="0" w:beforeAutospacing="0" w:after="0" w:afterAutospacing="0" w:line="288" w:lineRule="auto"/>
              <w:ind w:left="0" w:right="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4、单位负责人为同一人或者存在直接控股、管理关系的不同投标人，不得参加同一合同项下的政府采购活动。</w:t>
            </w:r>
          </w:p>
          <w:p>
            <w:pPr>
              <w:keepNext w:val="0"/>
              <w:keepLines w:val="0"/>
              <w:suppressLineNumbers w:val="0"/>
              <w:spacing w:before="0" w:beforeAutospacing="0" w:after="0" w:afterAutospacing="0" w:line="288" w:lineRule="auto"/>
              <w:ind w:left="0" w:right="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5、本项目不接受联合体竞标。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764"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b/>
                <w:bCs/>
                <w:color w:val="auto"/>
                <w:sz w:val="24"/>
                <w:highlight w:val="none"/>
              </w:rPr>
              <w:t>7</w:t>
            </w:r>
          </w:p>
        </w:tc>
        <w:tc>
          <w:tcPr>
            <w:tcW w:w="19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b/>
                <w:bCs/>
                <w:color w:val="auto"/>
                <w:sz w:val="24"/>
                <w:highlight w:val="none"/>
              </w:rPr>
              <w:t>结算方式</w:t>
            </w:r>
          </w:p>
        </w:tc>
        <w:tc>
          <w:tcPr>
            <w:tcW w:w="6463" w:type="dxa"/>
            <w:tcBorders>
              <w:top w:val="single" w:color="auto" w:sz="4" w:space="0"/>
              <w:left w:val="single" w:color="auto" w:sz="4" w:space="0"/>
              <w:bottom w:val="single" w:color="auto" w:sz="4" w:space="0"/>
            </w:tcBorders>
            <w:noWrap w:val="0"/>
            <w:vAlign w:val="center"/>
          </w:tcPr>
          <w:p>
            <w:pPr>
              <w:keepNext w:val="0"/>
              <w:keepLines w:val="0"/>
              <w:suppressLineNumbers w:val="0"/>
              <w:spacing w:before="0" w:beforeAutospacing="0" w:after="0" w:afterAutospacing="0" w:line="320" w:lineRule="exact"/>
              <w:ind w:left="0" w:right="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根据项目实际据实结算。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764"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b/>
                <w:bCs/>
                <w:color w:val="auto"/>
                <w:sz w:val="24"/>
                <w:highlight w:val="none"/>
              </w:rPr>
              <w:t>8</w:t>
            </w:r>
          </w:p>
        </w:tc>
        <w:tc>
          <w:tcPr>
            <w:tcW w:w="19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b/>
                <w:bCs/>
                <w:color w:val="auto"/>
                <w:sz w:val="24"/>
                <w:highlight w:val="none"/>
              </w:rPr>
              <w:t>项目预算</w:t>
            </w:r>
          </w:p>
        </w:tc>
        <w:tc>
          <w:tcPr>
            <w:tcW w:w="6463" w:type="dxa"/>
            <w:tcBorders>
              <w:top w:val="single" w:color="auto" w:sz="4" w:space="0"/>
              <w:left w:val="single" w:color="auto" w:sz="4" w:space="0"/>
              <w:bottom w:val="single" w:color="auto" w:sz="4" w:space="0"/>
            </w:tcBorders>
            <w:noWrap w:val="0"/>
            <w:vAlign w:val="center"/>
          </w:tcPr>
          <w:p>
            <w:pPr>
              <w:keepNext w:val="0"/>
              <w:keepLines w:val="0"/>
              <w:suppressLineNumbers w:val="0"/>
              <w:spacing w:before="0" w:beforeAutospacing="0" w:after="0" w:afterAutospacing="0" w:line="320" w:lineRule="exact"/>
              <w:ind w:left="0" w:right="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28</w:t>
            </w:r>
            <w:r>
              <w:rPr>
                <w:rFonts w:hint="eastAsia" w:ascii="仿宋_GB2312" w:hAnsi="仿宋_GB2312" w:eastAsia="仿宋_GB2312" w:cs="仿宋_GB2312"/>
                <w:color w:val="auto"/>
                <w:sz w:val="24"/>
                <w:szCs w:val="24"/>
                <w:highlight w:val="none"/>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764"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b/>
                <w:bCs/>
                <w:color w:val="auto"/>
                <w:sz w:val="24"/>
                <w:highlight w:val="none"/>
              </w:rPr>
              <w:t>9</w:t>
            </w:r>
          </w:p>
        </w:tc>
        <w:tc>
          <w:tcPr>
            <w:tcW w:w="19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b/>
                <w:bCs/>
                <w:color w:val="auto"/>
                <w:sz w:val="24"/>
                <w:highlight w:val="none"/>
              </w:rPr>
              <w:t>报价方式</w:t>
            </w:r>
          </w:p>
        </w:tc>
        <w:tc>
          <w:tcPr>
            <w:tcW w:w="6463" w:type="dxa"/>
            <w:tcBorders>
              <w:top w:val="single" w:color="auto" w:sz="4" w:space="0"/>
              <w:left w:val="single" w:color="auto" w:sz="4" w:space="0"/>
              <w:bottom w:val="single" w:color="auto" w:sz="4" w:space="0"/>
            </w:tcBorders>
            <w:noWrap w:val="0"/>
            <w:vAlign w:val="center"/>
          </w:tcPr>
          <w:p>
            <w:pPr>
              <w:keepNext w:val="0"/>
              <w:keepLines w:val="0"/>
              <w:suppressLineNumbers w:val="0"/>
              <w:spacing w:before="0" w:beforeAutospacing="0" w:after="0" w:afterAutospacing="0" w:line="320" w:lineRule="exact"/>
              <w:ind w:left="0" w:right="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整体项目报价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1" w:hRule="atLeast"/>
        </w:trPr>
        <w:tc>
          <w:tcPr>
            <w:tcW w:w="764"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b/>
                <w:bCs/>
                <w:color w:val="auto"/>
                <w:sz w:val="24"/>
                <w:highlight w:val="none"/>
              </w:rPr>
              <w:t>10</w:t>
            </w:r>
          </w:p>
        </w:tc>
        <w:tc>
          <w:tcPr>
            <w:tcW w:w="19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b/>
                <w:bCs/>
                <w:color w:val="auto"/>
                <w:sz w:val="24"/>
                <w:highlight w:val="none"/>
              </w:rPr>
              <w:t>磋商响应文件</w:t>
            </w:r>
          </w:p>
        </w:tc>
        <w:tc>
          <w:tcPr>
            <w:tcW w:w="6463" w:type="dxa"/>
            <w:tcBorders>
              <w:top w:val="single" w:color="auto" w:sz="4" w:space="0"/>
              <w:left w:val="single" w:color="auto" w:sz="4" w:space="0"/>
              <w:bottom w:val="single" w:color="auto" w:sz="4" w:space="0"/>
            </w:tcBorders>
            <w:noWrap w:val="0"/>
            <w:vAlign w:val="center"/>
          </w:tcPr>
          <w:p>
            <w:pPr>
              <w:keepNext w:val="0"/>
              <w:keepLines w:val="0"/>
              <w:suppressLineNumbers w:val="0"/>
              <w:spacing w:before="0" w:beforeAutospacing="0" w:after="0" w:afterAutospacing="0" w:line="320" w:lineRule="exact"/>
              <w:ind w:left="0" w:right="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商务文件和资格证明文件合并装订，正本1份，副本2份；技术文件单独装订，正本1份，副本2份；</w:t>
            </w:r>
          </w:p>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aps/>
                <w:color w:val="auto"/>
                <w:sz w:val="24"/>
                <w:szCs w:val="24"/>
                <w:highlight w:val="none"/>
              </w:rPr>
              <w:t>响应文件密封方式：响应文件盖章，纸质版装入响应文件袋（箱）中密封投递。</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764"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b/>
                <w:bCs/>
                <w:color w:val="auto"/>
                <w:sz w:val="24"/>
                <w:highlight w:val="none"/>
              </w:rPr>
              <w:t>11</w:t>
            </w:r>
          </w:p>
        </w:tc>
        <w:tc>
          <w:tcPr>
            <w:tcW w:w="19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b/>
                <w:bCs/>
                <w:color w:val="auto"/>
                <w:sz w:val="24"/>
                <w:highlight w:val="none"/>
              </w:rPr>
              <w:t>磋商有效期</w:t>
            </w:r>
          </w:p>
        </w:tc>
        <w:tc>
          <w:tcPr>
            <w:tcW w:w="6463" w:type="dxa"/>
            <w:tcBorders>
              <w:top w:val="single" w:color="auto" w:sz="4" w:space="0"/>
              <w:left w:val="single" w:color="auto" w:sz="4" w:space="0"/>
              <w:bottom w:val="single" w:color="auto" w:sz="4" w:space="0"/>
            </w:tcBorders>
            <w:noWrap w:val="0"/>
            <w:vAlign w:val="center"/>
          </w:tcPr>
          <w:p>
            <w:pPr>
              <w:keepNext w:val="0"/>
              <w:keepLines w:val="0"/>
              <w:suppressLineNumbers w:val="0"/>
              <w:spacing w:before="0" w:beforeAutospacing="0" w:after="0" w:afterAutospacing="0" w:line="320" w:lineRule="exact"/>
              <w:ind w:left="0" w:right="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从磋商响应文件提交截止之日起5日历天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764"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b/>
                <w:bCs/>
                <w:color w:val="auto"/>
                <w:sz w:val="24"/>
                <w:highlight w:val="none"/>
              </w:rPr>
              <w:t>12</w:t>
            </w:r>
          </w:p>
        </w:tc>
        <w:tc>
          <w:tcPr>
            <w:tcW w:w="19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磋商响应文件</w:t>
            </w:r>
          </w:p>
          <w:p>
            <w:pPr>
              <w:pStyle w:val="34"/>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highlight w:val="none"/>
              </w:rPr>
            </w:pPr>
          </w:p>
          <w:p>
            <w:pPr>
              <w:keepNext w:val="0"/>
              <w:keepLines w:val="0"/>
              <w:suppressLineNumbers w:val="0"/>
              <w:spacing w:before="0" w:beforeAutospacing="0" w:after="0" w:afterAutospacing="0" w:line="320" w:lineRule="exact"/>
              <w:ind w:left="0" w:right="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b/>
                <w:bCs/>
                <w:color w:val="auto"/>
                <w:sz w:val="24"/>
                <w:highlight w:val="none"/>
              </w:rPr>
              <w:t>提交地点、时间</w:t>
            </w:r>
          </w:p>
        </w:tc>
        <w:tc>
          <w:tcPr>
            <w:tcW w:w="6463" w:type="dxa"/>
            <w:tcBorders>
              <w:top w:val="single" w:color="auto" w:sz="4" w:space="0"/>
              <w:left w:val="single" w:color="auto" w:sz="4" w:space="0"/>
              <w:bottom w:val="single" w:color="auto" w:sz="4" w:space="0"/>
            </w:tcBorders>
            <w:noWrap w:val="0"/>
            <w:vAlign w:val="center"/>
          </w:tcPr>
          <w:p>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地点：广西会展时空信息科技有限公司</w:t>
            </w:r>
          </w:p>
          <w:p>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rPr>
              <w:t>广西南宁市青秀区会展路18号</w:t>
            </w:r>
            <w:r>
              <w:rPr>
                <w:rFonts w:hint="eastAsia" w:ascii="仿宋_GB2312" w:hAnsi="仿宋_GB2312" w:eastAsia="仿宋_GB2312" w:cs="仿宋_GB2312"/>
                <w:bCs/>
                <w:color w:val="auto"/>
                <w:sz w:val="24"/>
                <w:szCs w:val="24"/>
                <w:highlight w:val="none"/>
                <w:lang w:eastAsia="zh-CN"/>
              </w:rPr>
              <w:t>会展大厦</w:t>
            </w:r>
            <w:r>
              <w:rPr>
                <w:rFonts w:hint="eastAsia" w:ascii="仿宋_GB2312" w:hAnsi="仿宋_GB2312" w:eastAsia="仿宋_GB2312" w:cs="仿宋_GB2312"/>
                <w:bCs/>
                <w:color w:val="auto"/>
                <w:sz w:val="24"/>
                <w:szCs w:val="24"/>
                <w:highlight w:val="none"/>
                <w:lang w:val="en-US" w:eastAsia="zh-CN"/>
              </w:rPr>
              <w:t>8楼广西会展时空信息科技有限公司</w:t>
            </w:r>
          </w:p>
          <w:p>
            <w:pPr>
              <w:keepNext w:val="0"/>
              <w:keepLines w:val="0"/>
              <w:suppressLineNumbers w:val="0"/>
              <w:spacing w:before="0" w:beforeAutospacing="0" w:after="0" w:afterAutospacing="0" w:line="360" w:lineRule="auto"/>
              <w:ind w:left="0" w:right="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截止时间:202</w:t>
            </w:r>
            <w:r>
              <w:rPr>
                <w:rFonts w:hint="eastAsia" w:ascii="仿宋_GB2312" w:hAnsi="仿宋_GB2312" w:eastAsia="仿宋_GB2312" w:cs="仿宋_GB2312"/>
                <w:color w:val="auto"/>
                <w:sz w:val="24"/>
                <w:szCs w:val="24"/>
                <w:highlight w:val="none"/>
                <w:lang w:eastAsia="zh-CN"/>
              </w:rPr>
              <w:t>3</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lang w:eastAsia="zh-CN"/>
              </w:rPr>
              <w:t>3</w:t>
            </w:r>
            <w:r>
              <w:rPr>
                <w:rFonts w:hint="eastAsia" w:ascii="仿宋_GB2312" w:hAnsi="仿宋_GB2312" w:eastAsia="仿宋_GB2312" w:cs="仿宋_GB2312"/>
                <w:color w:val="auto"/>
                <w:sz w:val="24"/>
                <w:szCs w:val="24"/>
                <w:highlight w:val="none"/>
              </w:rPr>
              <w:t>月</w:t>
            </w:r>
            <w:r>
              <w:rPr>
                <w:rFonts w:hint="eastAsia" w:ascii="仿宋_GB2312" w:hAnsi="仿宋_GB2312" w:eastAsia="仿宋_GB2312" w:cs="仿宋_GB2312"/>
                <w:color w:val="auto"/>
                <w:sz w:val="24"/>
                <w:szCs w:val="24"/>
                <w:highlight w:val="none"/>
                <w:lang w:val="en-US" w:eastAsia="zh-CN"/>
              </w:rPr>
              <w:t>30</w:t>
            </w:r>
            <w:bookmarkStart w:id="52" w:name="_GoBack"/>
            <w:bookmarkEnd w:id="52"/>
            <w:r>
              <w:rPr>
                <w:rFonts w:hint="eastAsia" w:ascii="仿宋_GB2312" w:hAnsi="仿宋_GB2312" w:eastAsia="仿宋_GB2312" w:cs="仿宋_GB2312"/>
                <w:color w:val="auto"/>
                <w:sz w:val="24"/>
                <w:szCs w:val="24"/>
                <w:highlight w:val="none"/>
              </w:rPr>
              <w:t>日</w:t>
            </w:r>
            <w:r>
              <w:rPr>
                <w:rFonts w:hint="eastAsia" w:ascii="仿宋_GB2312" w:hAnsi="仿宋_GB2312" w:eastAsia="仿宋_GB2312" w:cs="仿宋_GB2312"/>
                <w:color w:val="auto"/>
                <w:sz w:val="24"/>
                <w:szCs w:val="24"/>
                <w:highlight w:val="none"/>
                <w:lang w:val="en-US" w:eastAsia="zh-CN"/>
              </w:rPr>
              <w:t>15:00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764"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13</w:t>
            </w:r>
          </w:p>
        </w:tc>
        <w:tc>
          <w:tcPr>
            <w:tcW w:w="19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响应文件开启时间、磋商时间及地点</w:t>
            </w:r>
          </w:p>
        </w:tc>
        <w:tc>
          <w:tcPr>
            <w:tcW w:w="6463" w:type="dxa"/>
            <w:tcBorders>
              <w:top w:val="single" w:color="auto" w:sz="4" w:space="0"/>
              <w:left w:val="single" w:color="auto" w:sz="4" w:space="0"/>
              <w:bottom w:val="single" w:color="auto" w:sz="4" w:space="0"/>
            </w:tcBorders>
            <w:noWrap w:val="0"/>
            <w:vAlign w:val="center"/>
          </w:tcPr>
          <w:p>
            <w:pPr>
              <w:keepNext w:val="0"/>
              <w:keepLines w:val="0"/>
              <w:suppressLineNumbers w:val="0"/>
              <w:tabs>
                <w:tab w:val="left" w:pos="632"/>
              </w:tabs>
              <w:spacing w:before="0" w:beforeAutospacing="0" w:after="0" w:afterAutospacing="0" w:line="560" w:lineRule="exact"/>
              <w:ind w:left="0" w:right="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详见第一章竞争性磋商公告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764"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b/>
                <w:bCs/>
                <w:color w:val="auto"/>
                <w:sz w:val="24"/>
                <w:highlight w:val="none"/>
              </w:rPr>
              <w:t>14</w:t>
            </w:r>
          </w:p>
        </w:tc>
        <w:tc>
          <w:tcPr>
            <w:tcW w:w="19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b/>
                <w:bCs/>
                <w:color w:val="auto"/>
                <w:sz w:val="24"/>
                <w:highlight w:val="none"/>
              </w:rPr>
              <w:t>评标方法</w:t>
            </w:r>
          </w:p>
        </w:tc>
        <w:tc>
          <w:tcPr>
            <w:tcW w:w="6463" w:type="dxa"/>
            <w:tcBorders>
              <w:top w:val="single" w:color="auto" w:sz="4" w:space="0"/>
              <w:left w:val="single" w:color="auto" w:sz="4" w:space="0"/>
              <w:bottom w:val="single" w:color="auto" w:sz="4" w:space="0"/>
            </w:tcBorders>
            <w:noWrap w:val="0"/>
            <w:vAlign w:val="center"/>
          </w:tcPr>
          <w:p>
            <w:pPr>
              <w:keepNext w:val="0"/>
              <w:keepLines w:val="0"/>
              <w:suppressLineNumbers w:val="0"/>
              <w:spacing w:before="0" w:beforeAutospacing="0" w:after="0" w:afterAutospacing="0" w:line="320" w:lineRule="exact"/>
              <w:ind w:left="0" w:right="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综合评分办法</w:t>
            </w:r>
          </w:p>
        </w:tc>
      </w:tr>
    </w:tbl>
    <w:p>
      <w:pPr>
        <w:spacing w:line="600" w:lineRule="exact"/>
        <w:ind w:firstLine="560" w:firstLineChars="200"/>
        <w:jc w:val="center"/>
        <w:outlineLvl w:val="9"/>
        <w:rPr>
          <w:rFonts w:eastAsia="黑体"/>
          <w:bCs/>
          <w:color w:val="auto"/>
          <w:sz w:val="28"/>
          <w:szCs w:val="28"/>
          <w:highlight w:val="none"/>
        </w:rPr>
      </w:pPr>
    </w:p>
    <w:p>
      <w:pPr>
        <w:spacing w:line="600" w:lineRule="exact"/>
        <w:ind w:firstLine="560" w:firstLineChars="200"/>
        <w:jc w:val="center"/>
        <w:outlineLvl w:val="1"/>
        <w:rPr>
          <w:rFonts w:hint="eastAsia" w:eastAsia="华文中宋"/>
          <w:color w:val="auto"/>
          <w:sz w:val="32"/>
          <w:szCs w:val="32"/>
          <w:highlight w:val="none"/>
        </w:rPr>
      </w:pPr>
      <w:r>
        <w:rPr>
          <w:rFonts w:eastAsia="黑体"/>
          <w:bCs/>
          <w:color w:val="auto"/>
          <w:sz w:val="28"/>
          <w:szCs w:val="28"/>
          <w:highlight w:val="none"/>
        </w:rPr>
        <w:br w:type="page"/>
      </w:r>
      <w:r>
        <w:rPr>
          <w:rFonts w:eastAsia="黑体"/>
          <w:bCs/>
          <w:color w:val="auto"/>
          <w:sz w:val="28"/>
          <w:szCs w:val="28"/>
          <w:highlight w:val="none"/>
        </w:rPr>
        <w:t xml:space="preserve"> </w:t>
      </w:r>
      <w:bookmarkStart w:id="12" w:name="_Toc30924"/>
      <w:r>
        <w:rPr>
          <w:rFonts w:eastAsia="华文中宋"/>
          <w:color w:val="auto"/>
          <w:sz w:val="32"/>
          <w:szCs w:val="32"/>
          <w:highlight w:val="none"/>
        </w:rPr>
        <w:t>供应商</w:t>
      </w:r>
      <w:r>
        <w:rPr>
          <w:rFonts w:hint="eastAsia" w:eastAsia="华文中宋"/>
          <w:color w:val="auto"/>
          <w:sz w:val="32"/>
          <w:szCs w:val="32"/>
          <w:highlight w:val="none"/>
        </w:rPr>
        <w:t>须知</w:t>
      </w:r>
    </w:p>
    <w:p>
      <w:pPr>
        <w:snapToGrid w:val="0"/>
        <w:spacing w:line="600" w:lineRule="exact"/>
        <w:ind w:firstLine="560" w:firstLineChars="200"/>
        <w:outlineLvl w:val="1"/>
        <w:rPr>
          <w:rFonts w:hint="eastAsia" w:eastAsia="黑体"/>
          <w:bCs/>
          <w:color w:val="auto"/>
          <w:sz w:val="28"/>
          <w:szCs w:val="28"/>
          <w:highlight w:val="none"/>
        </w:rPr>
      </w:pPr>
      <w:r>
        <w:rPr>
          <w:rFonts w:hint="eastAsia" w:eastAsia="黑体"/>
          <w:bCs/>
          <w:color w:val="auto"/>
          <w:sz w:val="28"/>
          <w:szCs w:val="28"/>
          <w:highlight w:val="none"/>
        </w:rPr>
        <w:t>一、总则</w:t>
      </w:r>
      <w:bookmarkEnd w:id="12"/>
    </w:p>
    <w:p>
      <w:pPr>
        <w:adjustRightInd w:val="0"/>
        <w:snapToGrid w:val="0"/>
        <w:spacing w:line="600" w:lineRule="exact"/>
        <w:ind w:right="17" w:firstLine="562" w:firstLineChars="200"/>
        <w:rPr>
          <w:rFonts w:hint="eastAsia" w:eastAsia="仿宋_GB2312"/>
          <w:b/>
          <w:bCs/>
          <w:color w:val="auto"/>
          <w:sz w:val="28"/>
          <w:szCs w:val="28"/>
          <w:highlight w:val="none"/>
        </w:rPr>
      </w:pPr>
      <w:r>
        <w:rPr>
          <w:rFonts w:eastAsia="仿宋_GB2312"/>
          <w:b/>
          <w:bCs/>
          <w:color w:val="auto"/>
          <w:sz w:val="28"/>
          <w:szCs w:val="28"/>
          <w:highlight w:val="none"/>
        </w:rPr>
        <w:t>1.</w:t>
      </w:r>
      <w:r>
        <w:rPr>
          <w:rFonts w:hint="eastAsia" w:eastAsia="仿宋_GB2312"/>
          <w:b/>
          <w:bCs/>
          <w:color w:val="auto"/>
          <w:sz w:val="28"/>
          <w:szCs w:val="28"/>
          <w:highlight w:val="none"/>
        </w:rPr>
        <w:t>项目说明</w:t>
      </w:r>
    </w:p>
    <w:p>
      <w:pPr>
        <w:snapToGrid w:val="0"/>
        <w:spacing w:line="600" w:lineRule="exact"/>
        <w:ind w:firstLine="560" w:firstLineChars="200"/>
        <w:jc w:val="left"/>
        <w:rPr>
          <w:rFonts w:eastAsia="仿宋_GB2312"/>
          <w:color w:val="auto"/>
          <w:highlight w:val="none"/>
        </w:rPr>
      </w:pPr>
      <w:r>
        <w:rPr>
          <w:rFonts w:eastAsia="仿宋_GB2312"/>
          <w:color w:val="auto"/>
          <w:sz w:val="28"/>
          <w:szCs w:val="28"/>
          <w:highlight w:val="none"/>
        </w:rPr>
        <w:t>1</w:t>
      </w:r>
      <w:r>
        <w:rPr>
          <w:rFonts w:eastAsia="仿宋_GB2312"/>
          <w:color w:val="auto"/>
          <w:kern w:val="0"/>
          <w:sz w:val="28"/>
          <w:szCs w:val="28"/>
          <w:highlight w:val="none"/>
        </w:rPr>
        <w:t>.l项目</w:t>
      </w:r>
      <w:r>
        <w:rPr>
          <w:rFonts w:hint="eastAsia" w:eastAsia="仿宋_GB2312"/>
          <w:color w:val="auto"/>
          <w:kern w:val="0"/>
          <w:sz w:val="28"/>
          <w:szCs w:val="28"/>
          <w:highlight w:val="none"/>
        </w:rPr>
        <w:t>名称：</w:t>
      </w:r>
      <w:r>
        <w:rPr>
          <w:rFonts w:hint="eastAsia" w:ascii="仿宋_GB2312" w:hAnsi="仿宋_GB2312" w:eastAsia="仿宋_GB2312" w:cs="仿宋_GB2312"/>
          <w:bCs/>
          <w:color w:val="auto"/>
          <w:sz w:val="28"/>
          <w:szCs w:val="28"/>
          <w:highlight w:val="none"/>
        </w:rPr>
        <w:t>呼叫中心系统采购服务项目</w:t>
      </w:r>
    </w:p>
    <w:p>
      <w:pPr>
        <w:snapToGrid w:val="0"/>
        <w:spacing w:line="600" w:lineRule="exact"/>
        <w:ind w:firstLine="560" w:firstLineChars="200"/>
        <w:jc w:val="left"/>
        <w:rPr>
          <w:rFonts w:hint="eastAsia"/>
          <w:color w:val="auto"/>
          <w:highlight w:val="none"/>
        </w:rPr>
      </w:pPr>
      <w:r>
        <w:rPr>
          <w:rFonts w:eastAsia="仿宋_GB2312"/>
          <w:color w:val="auto"/>
          <w:kern w:val="0"/>
          <w:sz w:val="28"/>
          <w:szCs w:val="28"/>
          <w:highlight w:val="none"/>
        </w:rPr>
        <w:t>1.2</w:t>
      </w:r>
      <w:r>
        <w:rPr>
          <w:rFonts w:hint="eastAsia" w:eastAsia="仿宋_GB2312"/>
          <w:color w:val="auto"/>
          <w:kern w:val="0"/>
          <w:sz w:val="28"/>
          <w:szCs w:val="28"/>
          <w:highlight w:val="none"/>
        </w:rPr>
        <w:t>服务地点：</w:t>
      </w:r>
      <w:r>
        <w:rPr>
          <w:rFonts w:hint="eastAsia" w:eastAsia="仿宋_GB2312"/>
          <w:color w:val="auto"/>
          <w:sz w:val="28"/>
          <w:szCs w:val="28"/>
          <w:highlight w:val="none"/>
        </w:rPr>
        <w:t>采购方指定地点</w:t>
      </w:r>
    </w:p>
    <w:p>
      <w:pPr>
        <w:snapToGrid w:val="0"/>
        <w:spacing w:line="600" w:lineRule="exact"/>
        <w:ind w:firstLine="560" w:firstLineChars="200"/>
        <w:jc w:val="left"/>
        <w:rPr>
          <w:color w:val="auto"/>
          <w:highlight w:val="none"/>
        </w:rPr>
      </w:pPr>
      <w:r>
        <w:rPr>
          <w:rFonts w:eastAsia="仿宋_GB2312"/>
          <w:color w:val="auto"/>
          <w:kern w:val="0"/>
          <w:sz w:val="28"/>
          <w:szCs w:val="28"/>
          <w:highlight w:val="none"/>
        </w:rPr>
        <w:t>1.3</w:t>
      </w:r>
      <w:r>
        <w:rPr>
          <w:rFonts w:hint="eastAsia" w:eastAsia="仿宋_GB2312"/>
          <w:color w:val="auto"/>
          <w:kern w:val="0"/>
          <w:sz w:val="28"/>
          <w:szCs w:val="28"/>
          <w:highlight w:val="none"/>
        </w:rPr>
        <w:t>采购方式：</w:t>
      </w:r>
      <w:r>
        <w:rPr>
          <w:rFonts w:hint="eastAsia" w:eastAsia="仿宋_GB2312"/>
          <w:color w:val="auto"/>
          <w:sz w:val="28"/>
          <w:szCs w:val="28"/>
          <w:highlight w:val="none"/>
        </w:rPr>
        <w:t>根据项目实际据实结算</w:t>
      </w:r>
    </w:p>
    <w:p>
      <w:pPr>
        <w:snapToGrid w:val="0"/>
        <w:spacing w:line="600" w:lineRule="exact"/>
        <w:ind w:firstLine="560" w:firstLineChars="200"/>
        <w:jc w:val="left"/>
        <w:rPr>
          <w:color w:val="auto"/>
          <w:highlight w:val="none"/>
        </w:rPr>
      </w:pPr>
      <w:r>
        <w:rPr>
          <w:rFonts w:eastAsia="仿宋_GB2312"/>
          <w:color w:val="auto"/>
          <w:kern w:val="0"/>
          <w:sz w:val="28"/>
          <w:szCs w:val="28"/>
          <w:highlight w:val="none"/>
        </w:rPr>
        <w:t>1.4</w:t>
      </w:r>
      <w:r>
        <w:rPr>
          <w:rFonts w:hint="eastAsia" w:eastAsia="仿宋_GB2312"/>
          <w:color w:val="auto"/>
          <w:kern w:val="0"/>
          <w:sz w:val="28"/>
          <w:szCs w:val="28"/>
          <w:highlight w:val="none"/>
        </w:rPr>
        <w:t>质量标准：合格</w:t>
      </w:r>
    </w:p>
    <w:p>
      <w:pPr>
        <w:snapToGrid w:val="0"/>
        <w:spacing w:line="600" w:lineRule="exact"/>
        <w:ind w:firstLine="560" w:firstLineChars="200"/>
        <w:outlineLvl w:val="1"/>
        <w:rPr>
          <w:color w:val="auto"/>
          <w:highlight w:val="none"/>
        </w:rPr>
      </w:pPr>
      <w:bookmarkStart w:id="13" w:name="_Toc13476"/>
      <w:r>
        <w:rPr>
          <w:rFonts w:hint="eastAsia" w:eastAsia="黑体"/>
          <w:bCs/>
          <w:color w:val="auto"/>
          <w:sz w:val="28"/>
          <w:szCs w:val="28"/>
          <w:highlight w:val="none"/>
        </w:rPr>
        <w:t>二、竞争性磋商响应文件的编制</w:t>
      </w:r>
      <w:bookmarkEnd w:id="13"/>
    </w:p>
    <w:p>
      <w:pPr>
        <w:snapToGrid w:val="0"/>
        <w:spacing w:line="600" w:lineRule="exact"/>
        <w:ind w:firstLine="562"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sz w:val="28"/>
          <w:szCs w:val="28"/>
          <w:highlight w:val="none"/>
        </w:rPr>
        <w:t>2.1竞争性磋商响应文件编制基本要求</w:t>
      </w:r>
    </w:p>
    <w:p>
      <w:pPr>
        <w:snapToGrid w:val="0"/>
        <w:spacing w:line="600" w:lineRule="exact"/>
        <w:ind w:firstLine="560" w:firstLineChars="200"/>
        <w:rPr>
          <w:color w:val="auto"/>
          <w:highlight w:val="none"/>
        </w:rPr>
      </w:pPr>
      <w:r>
        <w:rPr>
          <w:rFonts w:eastAsia="仿宋_GB2312"/>
          <w:color w:val="auto"/>
          <w:sz w:val="28"/>
          <w:szCs w:val="28"/>
          <w:highlight w:val="none"/>
        </w:rPr>
        <w:t>2.1.1</w:t>
      </w:r>
      <w:r>
        <w:rPr>
          <w:rFonts w:hint="eastAsia" w:eastAsia="仿宋_GB2312"/>
          <w:color w:val="auto"/>
          <w:sz w:val="28"/>
          <w:szCs w:val="28"/>
          <w:highlight w:val="none"/>
        </w:rPr>
        <w:t>磋商供应商对竞争性磋商响应文件的编制应按要求装订和封装。</w:t>
      </w:r>
    </w:p>
    <w:p>
      <w:pPr>
        <w:snapToGrid w:val="0"/>
        <w:spacing w:line="600" w:lineRule="exact"/>
        <w:ind w:firstLine="560" w:firstLineChars="200"/>
        <w:rPr>
          <w:color w:val="auto"/>
          <w:highlight w:val="none"/>
        </w:rPr>
      </w:pPr>
      <w:r>
        <w:rPr>
          <w:rFonts w:eastAsia="仿宋_GB2312"/>
          <w:color w:val="auto"/>
          <w:sz w:val="28"/>
          <w:szCs w:val="28"/>
          <w:highlight w:val="none"/>
        </w:rPr>
        <w:t>2.1.2</w:t>
      </w:r>
      <w:r>
        <w:rPr>
          <w:rFonts w:hint="eastAsia" w:eastAsia="仿宋_GB2312"/>
          <w:color w:val="auto"/>
          <w:sz w:val="28"/>
          <w:szCs w:val="28"/>
          <w:highlight w:val="none"/>
        </w:rPr>
        <w:t>磋商供应商提交的竞争性磋商响应文件以及磋商供应商与就有关磋商的所有来往函电均应使用中文。</w:t>
      </w:r>
      <w:r>
        <w:rPr>
          <w:rFonts w:eastAsia="仿宋_GB2312"/>
          <w:color w:val="auto"/>
          <w:sz w:val="28"/>
          <w:szCs w:val="28"/>
          <w:highlight w:val="none"/>
        </w:rPr>
        <w:t>磋商供应商</w:t>
      </w:r>
      <w:r>
        <w:rPr>
          <w:rFonts w:hint="eastAsia" w:eastAsia="仿宋_GB2312"/>
          <w:color w:val="auto"/>
          <w:sz w:val="28"/>
          <w:szCs w:val="28"/>
          <w:highlight w:val="none"/>
        </w:rPr>
        <w:t>提交的支持文件和印刷的文献可以使用别的语言，但其相应内容必须附有中文翻译文本，在解释竞争性磋商响应文件时以翻译文本为主。</w:t>
      </w:r>
    </w:p>
    <w:p>
      <w:pPr>
        <w:snapToGrid w:val="0"/>
        <w:spacing w:line="600" w:lineRule="exact"/>
        <w:ind w:firstLine="560" w:firstLineChars="200"/>
        <w:rPr>
          <w:color w:val="auto"/>
          <w:highlight w:val="none"/>
        </w:rPr>
      </w:pPr>
      <w:r>
        <w:rPr>
          <w:rFonts w:eastAsia="仿宋_GB2312"/>
          <w:color w:val="auto"/>
          <w:sz w:val="28"/>
          <w:szCs w:val="28"/>
          <w:highlight w:val="none"/>
        </w:rPr>
        <w:t>2.1.3磋商供应商</w:t>
      </w:r>
      <w:r>
        <w:rPr>
          <w:rFonts w:hint="eastAsia" w:eastAsia="仿宋_GB2312"/>
          <w:color w:val="auto"/>
          <w:sz w:val="28"/>
          <w:szCs w:val="28"/>
          <w:highlight w:val="none"/>
        </w:rPr>
        <w:t>应认真阅读、并充分理解本文件的全部内容（包括所有的补充、修改内容），承诺并履行本文件中各项条款规定及要求。</w:t>
      </w:r>
    </w:p>
    <w:p>
      <w:pPr>
        <w:snapToGrid w:val="0"/>
        <w:spacing w:line="600" w:lineRule="exact"/>
        <w:ind w:firstLine="560" w:firstLineChars="200"/>
        <w:rPr>
          <w:color w:val="auto"/>
          <w:highlight w:val="none"/>
        </w:rPr>
      </w:pPr>
      <w:r>
        <w:rPr>
          <w:rFonts w:eastAsia="仿宋_GB2312"/>
          <w:color w:val="auto"/>
          <w:sz w:val="28"/>
          <w:szCs w:val="28"/>
          <w:highlight w:val="none"/>
        </w:rPr>
        <w:t>2.1.4</w:t>
      </w:r>
      <w:r>
        <w:rPr>
          <w:rFonts w:hint="eastAsia" w:eastAsia="仿宋_GB2312"/>
          <w:color w:val="auto"/>
          <w:sz w:val="28"/>
          <w:szCs w:val="28"/>
          <w:highlight w:val="none"/>
        </w:rPr>
        <w:t>竞争性磋商响应文件必须按本文件的全部内容，包括所有的补充通知及附件进行编制。</w:t>
      </w:r>
    </w:p>
    <w:p>
      <w:pPr>
        <w:snapToGrid w:val="0"/>
        <w:spacing w:line="600" w:lineRule="exact"/>
        <w:ind w:firstLine="560" w:firstLineChars="200"/>
        <w:rPr>
          <w:color w:val="auto"/>
          <w:highlight w:val="none"/>
        </w:rPr>
      </w:pPr>
      <w:r>
        <w:rPr>
          <w:rFonts w:eastAsia="仿宋_GB2312"/>
          <w:color w:val="auto"/>
          <w:sz w:val="28"/>
          <w:szCs w:val="28"/>
          <w:highlight w:val="none"/>
        </w:rPr>
        <w:t>2.1.5</w:t>
      </w:r>
      <w:r>
        <w:rPr>
          <w:rFonts w:hint="eastAsia" w:eastAsia="仿宋_GB2312"/>
          <w:color w:val="auto"/>
          <w:sz w:val="28"/>
          <w:szCs w:val="28"/>
          <w:highlight w:val="none"/>
        </w:rPr>
        <w:t>如因磋商</w:t>
      </w:r>
      <w:r>
        <w:rPr>
          <w:rFonts w:eastAsia="仿宋_GB2312"/>
          <w:color w:val="auto"/>
          <w:sz w:val="28"/>
          <w:szCs w:val="28"/>
          <w:highlight w:val="none"/>
        </w:rPr>
        <w:t>供应商</w:t>
      </w:r>
      <w:r>
        <w:rPr>
          <w:rFonts w:hint="eastAsia" w:eastAsia="仿宋_GB2312"/>
          <w:color w:val="auto"/>
          <w:sz w:val="28"/>
          <w:szCs w:val="28"/>
          <w:highlight w:val="none"/>
        </w:rPr>
        <w:t>只填写和提供了本文件要求的部分内容和附件，而给评审造成困难，其可能导致的结果和责任由磋商</w:t>
      </w:r>
      <w:r>
        <w:rPr>
          <w:rFonts w:eastAsia="仿宋_GB2312"/>
          <w:color w:val="auto"/>
          <w:sz w:val="28"/>
          <w:szCs w:val="28"/>
          <w:highlight w:val="none"/>
        </w:rPr>
        <w:t>供应商</w:t>
      </w:r>
      <w:r>
        <w:rPr>
          <w:rFonts w:hint="eastAsia" w:eastAsia="仿宋_GB2312"/>
          <w:color w:val="auto"/>
          <w:sz w:val="28"/>
          <w:szCs w:val="28"/>
          <w:highlight w:val="none"/>
        </w:rPr>
        <w:t>自行承担。</w:t>
      </w:r>
    </w:p>
    <w:p>
      <w:pPr>
        <w:snapToGrid w:val="0"/>
        <w:spacing w:line="600" w:lineRule="exact"/>
        <w:ind w:firstLine="560" w:firstLineChars="200"/>
        <w:rPr>
          <w:color w:val="auto"/>
          <w:highlight w:val="none"/>
        </w:rPr>
      </w:pPr>
      <w:r>
        <w:rPr>
          <w:rFonts w:eastAsia="仿宋_GB2312"/>
          <w:color w:val="auto"/>
          <w:sz w:val="28"/>
          <w:szCs w:val="28"/>
          <w:highlight w:val="none"/>
        </w:rPr>
        <w:t>2.1.6</w:t>
      </w:r>
      <w:r>
        <w:rPr>
          <w:rFonts w:hint="eastAsia" w:eastAsia="仿宋_GB2312"/>
          <w:color w:val="auto"/>
          <w:sz w:val="28"/>
          <w:szCs w:val="28"/>
          <w:highlight w:val="none"/>
        </w:rPr>
        <w:t>竞争性磋商响应文件的组成</w:t>
      </w:r>
    </w:p>
    <w:p>
      <w:pPr>
        <w:snapToGrid w:val="0"/>
        <w:spacing w:line="600" w:lineRule="exact"/>
        <w:ind w:firstLine="560" w:firstLineChars="200"/>
        <w:rPr>
          <w:color w:val="auto"/>
          <w:highlight w:val="none"/>
        </w:rPr>
      </w:pPr>
      <w:r>
        <w:rPr>
          <w:rFonts w:hint="eastAsia" w:eastAsia="仿宋_GB2312"/>
          <w:color w:val="auto"/>
          <w:sz w:val="28"/>
          <w:szCs w:val="28"/>
          <w:highlight w:val="none"/>
        </w:rPr>
        <w:t>竞争性磋商响应文件应分为商务文件、资格证明文件和技术文件三个部分组成，商务文件和资格证明文件合并编制，技术文件单独编制。</w:t>
      </w:r>
    </w:p>
    <w:p>
      <w:pPr>
        <w:snapToGrid w:val="0"/>
        <w:spacing w:line="600" w:lineRule="exact"/>
        <w:ind w:firstLine="560" w:firstLineChars="200"/>
        <w:rPr>
          <w:color w:val="auto"/>
          <w:highlight w:val="none"/>
        </w:rPr>
      </w:pPr>
      <w:r>
        <w:rPr>
          <w:rFonts w:eastAsia="仿宋_GB2312"/>
          <w:color w:val="auto"/>
          <w:sz w:val="28"/>
          <w:szCs w:val="28"/>
          <w:highlight w:val="none"/>
        </w:rPr>
        <w:t>2.1.6.1</w:t>
      </w:r>
      <w:r>
        <w:rPr>
          <w:rFonts w:hint="eastAsia" w:eastAsia="仿宋_GB2312"/>
          <w:color w:val="auto"/>
          <w:sz w:val="28"/>
          <w:szCs w:val="28"/>
          <w:highlight w:val="none"/>
        </w:rPr>
        <w:t>商务文件</w:t>
      </w:r>
    </w:p>
    <w:p>
      <w:pPr>
        <w:snapToGrid w:val="0"/>
        <w:spacing w:line="600" w:lineRule="exact"/>
        <w:ind w:firstLine="560" w:firstLineChars="200"/>
        <w:rPr>
          <w:rFonts w:eastAsia="仿宋_GB2312"/>
          <w:b/>
          <w:bCs/>
          <w:color w:val="auto"/>
          <w:sz w:val="28"/>
          <w:szCs w:val="28"/>
          <w:highlight w:val="none"/>
        </w:rPr>
      </w:pPr>
      <w:r>
        <w:rPr>
          <w:rFonts w:eastAsia="仿宋_GB2312"/>
          <w:color w:val="auto"/>
          <w:sz w:val="28"/>
          <w:szCs w:val="28"/>
          <w:highlight w:val="none"/>
        </w:rPr>
        <w:t>（1）磋商书（详见附件1）；</w:t>
      </w:r>
      <w:r>
        <w:rPr>
          <w:rFonts w:eastAsia="仿宋_GB2312"/>
          <w:b/>
          <w:bCs/>
          <w:color w:val="auto"/>
          <w:sz w:val="28"/>
          <w:szCs w:val="28"/>
          <w:highlight w:val="none"/>
        </w:rPr>
        <w:t>（必须提供，否则响应文件按无效响应处理）</w:t>
      </w:r>
    </w:p>
    <w:p>
      <w:pPr>
        <w:snapToGrid w:val="0"/>
        <w:spacing w:line="600" w:lineRule="exact"/>
        <w:ind w:firstLine="560" w:firstLineChars="200"/>
        <w:rPr>
          <w:rFonts w:eastAsia="仿宋_GB2312"/>
          <w:b/>
          <w:bCs/>
          <w:color w:val="auto"/>
          <w:sz w:val="28"/>
          <w:szCs w:val="28"/>
          <w:highlight w:val="none"/>
        </w:rPr>
      </w:pPr>
      <w:r>
        <w:rPr>
          <w:rFonts w:eastAsia="仿宋_GB2312"/>
          <w:color w:val="auto"/>
          <w:sz w:val="28"/>
          <w:szCs w:val="28"/>
          <w:highlight w:val="none"/>
        </w:rPr>
        <w:t>（2）报价表（详见附件2）；</w:t>
      </w:r>
      <w:r>
        <w:rPr>
          <w:rFonts w:eastAsia="仿宋_GB2312"/>
          <w:b/>
          <w:bCs/>
          <w:color w:val="auto"/>
          <w:sz w:val="28"/>
          <w:szCs w:val="28"/>
          <w:highlight w:val="none"/>
        </w:rPr>
        <w:t>（必须提供，否则响应文件按无效响应处理）</w:t>
      </w:r>
    </w:p>
    <w:p>
      <w:pPr>
        <w:pStyle w:val="14"/>
        <w:snapToGrid w:val="0"/>
        <w:spacing w:before="0" w:after="0" w:line="600" w:lineRule="exact"/>
        <w:ind w:firstLine="560" w:firstLineChars="200"/>
        <w:rPr>
          <w:rFonts w:ascii="Times New Roman" w:hAnsi="Times New Roman" w:eastAsia="仿宋_GB2312"/>
          <w:b w:val="0"/>
          <w:bCs w:val="0"/>
          <w:caps w:val="0"/>
          <w:color w:val="auto"/>
          <w:sz w:val="28"/>
          <w:szCs w:val="28"/>
          <w:highlight w:val="none"/>
        </w:rPr>
      </w:pPr>
      <w:r>
        <w:rPr>
          <w:rFonts w:hint="eastAsia" w:ascii="Times New Roman" w:hAnsi="Times New Roman" w:eastAsia="仿宋_GB2312"/>
          <w:b w:val="0"/>
          <w:bCs w:val="0"/>
          <w:caps w:val="0"/>
          <w:color w:val="auto"/>
          <w:sz w:val="28"/>
          <w:szCs w:val="28"/>
          <w:highlight w:val="none"/>
        </w:rPr>
        <w:t>（</w:t>
      </w:r>
      <w:r>
        <w:rPr>
          <w:rFonts w:ascii="Times New Roman" w:hAnsi="Times New Roman" w:eastAsia="仿宋_GB2312"/>
          <w:b w:val="0"/>
          <w:bCs w:val="0"/>
          <w:caps w:val="0"/>
          <w:color w:val="auto"/>
          <w:sz w:val="28"/>
          <w:szCs w:val="28"/>
          <w:highlight w:val="none"/>
        </w:rPr>
        <w:t>3</w:t>
      </w:r>
      <w:r>
        <w:rPr>
          <w:rFonts w:hint="eastAsia" w:ascii="Times New Roman" w:hAnsi="Times New Roman" w:eastAsia="仿宋_GB2312"/>
          <w:b w:val="0"/>
          <w:bCs w:val="0"/>
          <w:caps w:val="0"/>
          <w:color w:val="auto"/>
          <w:sz w:val="28"/>
          <w:szCs w:val="28"/>
          <w:highlight w:val="none"/>
        </w:rPr>
        <w:t>）优惠条件（如有）；</w:t>
      </w:r>
      <w:r>
        <w:rPr>
          <w:rFonts w:ascii="Times New Roman" w:hAnsi="Times New Roman" w:eastAsia="仿宋_GB2312"/>
          <w:b w:val="0"/>
          <w:bCs w:val="0"/>
          <w:caps w:val="0"/>
          <w:color w:val="auto"/>
          <w:sz w:val="28"/>
          <w:szCs w:val="28"/>
          <w:highlight w:val="none"/>
        </w:rPr>
        <w:t xml:space="preserve"> </w:t>
      </w:r>
    </w:p>
    <w:p>
      <w:pPr>
        <w:snapToGrid w:val="0"/>
        <w:spacing w:line="600" w:lineRule="exact"/>
        <w:ind w:firstLine="560" w:firstLineChars="200"/>
        <w:rPr>
          <w:rFonts w:hint="eastAsia" w:eastAsia="仿宋_GB2312"/>
          <w:color w:val="auto"/>
          <w:sz w:val="28"/>
          <w:szCs w:val="28"/>
          <w:highlight w:val="none"/>
        </w:rPr>
      </w:pPr>
      <w:r>
        <w:rPr>
          <w:rFonts w:hint="eastAsia" w:eastAsia="仿宋_GB2312"/>
          <w:color w:val="auto"/>
          <w:sz w:val="28"/>
          <w:szCs w:val="28"/>
          <w:highlight w:val="none"/>
        </w:rPr>
        <w:t>（4）商务响应表；（详见附件</w:t>
      </w:r>
      <w:r>
        <w:rPr>
          <w:rFonts w:eastAsia="仿宋_GB2312"/>
          <w:color w:val="auto"/>
          <w:sz w:val="28"/>
          <w:szCs w:val="28"/>
          <w:highlight w:val="none"/>
        </w:rPr>
        <w:t>3</w:t>
      </w:r>
      <w:r>
        <w:rPr>
          <w:rFonts w:hint="eastAsia" w:eastAsia="仿宋_GB2312"/>
          <w:color w:val="auto"/>
          <w:sz w:val="28"/>
          <w:szCs w:val="28"/>
          <w:highlight w:val="none"/>
        </w:rPr>
        <w:t>）</w:t>
      </w:r>
    </w:p>
    <w:p>
      <w:pPr>
        <w:pStyle w:val="14"/>
        <w:snapToGrid w:val="0"/>
        <w:spacing w:before="0" w:after="0" w:line="600" w:lineRule="exact"/>
        <w:ind w:firstLine="560" w:firstLineChars="200"/>
        <w:rPr>
          <w:rFonts w:ascii="Times New Roman" w:hAnsi="Times New Roman" w:eastAsia="仿宋_GB2312"/>
          <w:b w:val="0"/>
          <w:bCs w:val="0"/>
          <w:caps w:val="0"/>
          <w:color w:val="auto"/>
          <w:sz w:val="28"/>
          <w:szCs w:val="28"/>
          <w:highlight w:val="none"/>
        </w:rPr>
      </w:pPr>
      <w:r>
        <w:rPr>
          <w:rFonts w:hint="eastAsia" w:ascii="Times New Roman" w:hAnsi="Times New Roman" w:eastAsia="仿宋_GB2312"/>
          <w:b w:val="0"/>
          <w:bCs w:val="0"/>
          <w:caps w:val="0"/>
          <w:color w:val="auto"/>
          <w:sz w:val="28"/>
          <w:szCs w:val="28"/>
          <w:highlight w:val="none"/>
        </w:rPr>
        <w:t>（</w:t>
      </w:r>
      <w:r>
        <w:rPr>
          <w:rFonts w:ascii="Times New Roman" w:hAnsi="Times New Roman" w:eastAsia="仿宋_GB2312"/>
          <w:b w:val="0"/>
          <w:bCs w:val="0"/>
          <w:caps w:val="0"/>
          <w:color w:val="auto"/>
          <w:sz w:val="28"/>
          <w:szCs w:val="28"/>
          <w:highlight w:val="none"/>
        </w:rPr>
        <w:t>5</w:t>
      </w:r>
      <w:r>
        <w:rPr>
          <w:rFonts w:hint="eastAsia" w:ascii="Times New Roman" w:hAnsi="Times New Roman" w:eastAsia="仿宋_GB2312"/>
          <w:b w:val="0"/>
          <w:bCs w:val="0"/>
          <w:caps w:val="0"/>
          <w:color w:val="auto"/>
          <w:sz w:val="28"/>
          <w:szCs w:val="28"/>
          <w:highlight w:val="none"/>
        </w:rPr>
        <w:t>）供应商认为必要提供的相关证明材料（详见附件</w:t>
      </w:r>
      <w:r>
        <w:rPr>
          <w:rFonts w:ascii="Times New Roman" w:hAnsi="Times New Roman" w:eastAsia="仿宋_GB2312"/>
          <w:b w:val="0"/>
          <w:bCs w:val="0"/>
          <w:caps w:val="0"/>
          <w:color w:val="auto"/>
          <w:sz w:val="28"/>
          <w:szCs w:val="28"/>
          <w:highlight w:val="none"/>
        </w:rPr>
        <w:t>4</w:t>
      </w:r>
      <w:r>
        <w:rPr>
          <w:rFonts w:hint="eastAsia" w:ascii="Times New Roman" w:hAnsi="Times New Roman" w:eastAsia="仿宋_GB2312"/>
          <w:b w:val="0"/>
          <w:bCs w:val="0"/>
          <w:caps w:val="0"/>
          <w:color w:val="auto"/>
          <w:sz w:val="28"/>
          <w:szCs w:val="28"/>
          <w:highlight w:val="none"/>
        </w:rPr>
        <w:t>）；</w:t>
      </w:r>
    </w:p>
    <w:p>
      <w:pPr>
        <w:snapToGrid w:val="0"/>
        <w:spacing w:line="600" w:lineRule="exact"/>
        <w:ind w:firstLine="560" w:firstLineChars="200"/>
        <w:rPr>
          <w:color w:val="auto"/>
          <w:highlight w:val="none"/>
        </w:rPr>
      </w:pPr>
      <w:r>
        <w:rPr>
          <w:rFonts w:eastAsia="仿宋_GB2312"/>
          <w:color w:val="auto"/>
          <w:sz w:val="28"/>
          <w:szCs w:val="28"/>
          <w:highlight w:val="none"/>
        </w:rPr>
        <w:t>2.1.6.2</w:t>
      </w:r>
      <w:r>
        <w:rPr>
          <w:rFonts w:hint="eastAsia" w:eastAsia="仿宋_GB2312"/>
          <w:color w:val="auto"/>
          <w:sz w:val="28"/>
          <w:szCs w:val="28"/>
          <w:highlight w:val="none"/>
        </w:rPr>
        <w:t>资格证明文件</w:t>
      </w:r>
    </w:p>
    <w:p>
      <w:pPr>
        <w:snapToGrid w:val="0"/>
        <w:spacing w:line="600" w:lineRule="exact"/>
        <w:ind w:firstLine="560" w:firstLineChars="200"/>
        <w:rPr>
          <w:rFonts w:eastAsia="仿宋_GB2312"/>
          <w:color w:val="auto"/>
          <w:sz w:val="28"/>
          <w:szCs w:val="28"/>
          <w:highlight w:val="none"/>
        </w:rPr>
      </w:pPr>
      <w:r>
        <w:rPr>
          <w:rFonts w:eastAsia="仿宋_GB2312"/>
          <w:color w:val="auto"/>
          <w:sz w:val="28"/>
          <w:szCs w:val="28"/>
          <w:highlight w:val="none"/>
        </w:rPr>
        <w:t>（1）法人或者其他组织的营业执照等证明文件（如营业执照或事业单位法人证书或执业许可证等），自然人的身份证复印件（</w:t>
      </w:r>
      <w:r>
        <w:rPr>
          <w:rFonts w:eastAsia="仿宋_GB2312"/>
          <w:b/>
          <w:bCs/>
          <w:color w:val="auto"/>
          <w:sz w:val="28"/>
          <w:szCs w:val="28"/>
          <w:highlight w:val="none"/>
        </w:rPr>
        <w:t>必须提供，否则响应文件按无效响应处理）</w:t>
      </w:r>
    </w:p>
    <w:p>
      <w:pPr>
        <w:snapToGrid w:val="0"/>
        <w:spacing w:line="600" w:lineRule="exact"/>
        <w:ind w:firstLine="560" w:firstLineChars="200"/>
        <w:rPr>
          <w:rFonts w:eastAsia="仿宋_GB2312"/>
          <w:b/>
          <w:bCs/>
          <w:color w:val="auto"/>
          <w:sz w:val="28"/>
          <w:szCs w:val="28"/>
          <w:highlight w:val="none"/>
        </w:rPr>
      </w:pPr>
      <w:r>
        <w:rPr>
          <w:rFonts w:eastAsia="仿宋_GB2312"/>
          <w:color w:val="auto"/>
          <w:sz w:val="28"/>
          <w:szCs w:val="28"/>
          <w:highlight w:val="none"/>
        </w:rPr>
        <w:t>（2）法定代表人</w:t>
      </w:r>
      <w:r>
        <w:rPr>
          <w:rFonts w:hint="eastAsia" w:eastAsia="仿宋_GB2312"/>
          <w:color w:val="auto"/>
          <w:sz w:val="28"/>
          <w:szCs w:val="28"/>
          <w:highlight w:val="none"/>
        </w:rPr>
        <w:t>（负责人）</w:t>
      </w:r>
      <w:r>
        <w:rPr>
          <w:rFonts w:eastAsia="仿宋_GB2312"/>
          <w:color w:val="auto"/>
          <w:sz w:val="28"/>
          <w:szCs w:val="28"/>
          <w:highlight w:val="none"/>
        </w:rPr>
        <w:t>身份证明书及法定代表人</w:t>
      </w:r>
      <w:r>
        <w:rPr>
          <w:rFonts w:hint="eastAsia" w:eastAsia="仿宋_GB2312"/>
          <w:color w:val="auto"/>
          <w:sz w:val="28"/>
          <w:szCs w:val="28"/>
          <w:highlight w:val="none"/>
        </w:rPr>
        <w:t>（负责人）</w:t>
      </w:r>
      <w:r>
        <w:rPr>
          <w:rFonts w:eastAsia="仿宋_GB2312"/>
          <w:color w:val="auto"/>
          <w:sz w:val="28"/>
          <w:szCs w:val="28"/>
          <w:highlight w:val="none"/>
        </w:rPr>
        <w:t>有效身份证正反面复印件（详见附件5）；</w:t>
      </w:r>
      <w:r>
        <w:rPr>
          <w:rFonts w:eastAsia="仿宋_GB2312"/>
          <w:b/>
          <w:bCs/>
          <w:color w:val="auto"/>
          <w:sz w:val="28"/>
          <w:szCs w:val="28"/>
          <w:highlight w:val="none"/>
        </w:rPr>
        <w:t>（除自然人竞标外必须提供，否则响应文件按无效响应处理）</w:t>
      </w:r>
    </w:p>
    <w:p>
      <w:pPr>
        <w:snapToGrid w:val="0"/>
        <w:spacing w:line="600" w:lineRule="exact"/>
        <w:ind w:firstLine="560" w:firstLineChars="200"/>
        <w:rPr>
          <w:rFonts w:eastAsia="仿宋_GB2312"/>
          <w:b/>
          <w:bCs/>
          <w:color w:val="auto"/>
          <w:sz w:val="28"/>
          <w:szCs w:val="28"/>
          <w:highlight w:val="none"/>
        </w:rPr>
      </w:pPr>
      <w:r>
        <w:rPr>
          <w:rFonts w:eastAsia="仿宋_GB2312"/>
          <w:color w:val="auto"/>
          <w:sz w:val="28"/>
          <w:szCs w:val="28"/>
          <w:highlight w:val="none"/>
        </w:rPr>
        <w:t>（3）法定代表人</w:t>
      </w:r>
      <w:r>
        <w:rPr>
          <w:rFonts w:hint="eastAsia" w:eastAsia="仿宋_GB2312"/>
          <w:color w:val="auto"/>
          <w:sz w:val="28"/>
          <w:szCs w:val="28"/>
          <w:highlight w:val="none"/>
        </w:rPr>
        <w:t>（负责人）</w:t>
      </w:r>
      <w:r>
        <w:rPr>
          <w:rFonts w:eastAsia="仿宋_GB2312"/>
          <w:color w:val="auto"/>
          <w:sz w:val="28"/>
          <w:szCs w:val="28"/>
          <w:highlight w:val="none"/>
        </w:rPr>
        <w:t>授权委托书及委托代理人有效身份证正反面复印件（详见附件6）；</w:t>
      </w:r>
      <w:r>
        <w:rPr>
          <w:rFonts w:eastAsia="仿宋_GB2312"/>
          <w:b/>
          <w:color w:val="auto"/>
          <w:sz w:val="28"/>
          <w:szCs w:val="28"/>
          <w:highlight w:val="none"/>
        </w:rPr>
        <w:t>（委托时必须提供，否则响应文件按无效响应处理）</w:t>
      </w:r>
    </w:p>
    <w:p>
      <w:pPr>
        <w:snapToGrid w:val="0"/>
        <w:spacing w:line="600" w:lineRule="exact"/>
        <w:ind w:firstLine="560"/>
        <w:jc w:val="left"/>
        <w:rPr>
          <w:rFonts w:eastAsia="仿宋_GB2312"/>
          <w:color w:val="auto"/>
          <w:sz w:val="28"/>
          <w:szCs w:val="28"/>
          <w:highlight w:val="none"/>
        </w:rPr>
      </w:pPr>
      <w:r>
        <w:rPr>
          <w:rFonts w:eastAsia="仿宋_GB2312"/>
          <w:color w:val="auto"/>
          <w:sz w:val="28"/>
          <w:szCs w:val="28"/>
          <w:highlight w:val="none"/>
        </w:rPr>
        <w:t>（4）廉洁承诺书；（详见附件7）；</w:t>
      </w:r>
      <w:r>
        <w:rPr>
          <w:rFonts w:eastAsia="仿宋_GB2312"/>
          <w:b/>
          <w:color w:val="auto"/>
          <w:sz w:val="28"/>
          <w:szCs w:val="28"/>
          <w:highlight w:val="none"/>
        </w:rPr>
        <w:t>（必须提供，否则响应文件按无效响应处理）</w:t>
      </w:r>
      <w:r>
        <w:rPr>
          <w:rFonts w:eastAsia="仿宋_GB2312"/>
          <w:color w:val="auto"/>
          <w:sz w:val="28"/>
          <w:szCs w:val="28"/>
          <w:highlight w:val="none"/>
        </w:rPr>
        <w:t xml:space="preserve">   </w:t>
      </w:r>
    </w:p>
    <w:p>
      <w:pPr>
        <w:snapToGrid w:val="0"/>
        <w:spacing w:line="600" w:lineRule="exact"/>
        <w:ind w:firstLine="560"/>
        <w:jc w:val="left"/>
        <w:rPr>
          <w:rFonts w:eastAsia="仿宋_GB2312"/>
          <w:color w:val="auto"/>
          <w:sz w:val="28"/>
          <w:szCs w:val="28"/>
          <w:highlight w:val="none"/>
        </w:rPr>
      </w:pPr>
      <w:r>
        <w:rPr>
          <w:rFonts w:eastAsia="仿宋_GB2312"/>
          <w:color w:val="auto"/>
          <w:sz w:val="28"/>
          <w:szCs w:val="28"/>
          <w:highlight w:val="none"/>
        </w:rPr>
        <w:t>（</w:t>
      </w:r>
      <w:r>
        <w:rPr>
          <w:rFonts w:hint="eastAsia" w:eastAsia="仿宋_GB2312"/>
          <w:color w:val="auto"/>
          <w:sz w:val="28"/>
          <w:szCs w:val="28"/>
          <w:highlight w:val="none"/>
        </w:rPr>
        <w:t>5</w:t>
      </w:r>
      <w:r>
        <w:rPr>
          <w:rFonts w:eastAsia="仿宋_GB2312"/>
          <w:color w:val="auto"/>
          <w:sz w:val="28"/>
          <w:szCs w:val="28"/>
          <w:highlight w:val="none"/>
        </w:rPr>
        <w:t>）供应商认为必要提供的声明及文件资料；（详见附件8）</w:t>
      </w:r>
    </w:p>
    <w:p>
      <w:pPr>
        <w:snapToGrid w:val="0"/>
        <w:spacing w:line="600" w:lineRule="exact"/>
        <w:ind w:firstLine="560" w:firstLineChars="200"/>
        <w:jc w:val="left"/>
        <w:rPr>
          <w:rFonts w:eastAsia="仿宋_GB2312"/>
          <w:color w:val="auto"/>
          <w:sz w:val="28"/>
          <w:szCs w:val="28"/>
          <w:highlight w:val="none"/>
        </w:rPr>
      </w:pPr>
      <w:r>
        <w:rPr>
          <w:rFonts w:eastAsia="仿宋_GB2312"/>
          <w:color w:val="auto"/>
          <w:sz w:val="28"/>
          <w:szCs w:val="28"/>
          <w:highlight w:val="none"/>
        </w:rPr>
        <w:t>2.1.6.3技术文件</w:t>
      </w:r>
    </w:p>
    <w:p>
      <w:pPr>
        <w:snapToGrid w:val="0"/>
        <w:spacing w:line="600" w:lineRule="exact"/>
        <w:ind w:firstLine="560" w:firstLineChars="200"/>
        <w:rPr>
          <w:rFonts w:eastAsia="仿宋_GB2312"/>
          <w:b/>
          <w:color w:val="auto"/>
          <w:sz w:val="28"/>
          <w:szCs w:val="28"/>
          <w:highlight w:val="none"/>
        </w:rPr>
      </w:pPr>
      <w:r>
        <w:rPr>
          <w:rFonts w:eastAsia="仿宋_GB2312"/>
          <w:color w:val="auto"/>
          <w:sz w:val="28"/>
          <w:szCs w:val="28"/>
          <w:highlight w:val="none"/>
        </w:rPr>
        <w:t>（1）</w:t>
      </w:r>
      <w:r>
        <w:rPr>
          <w:rFonts w:hint="eastAsia" w:eastAsia="仿宋_GB2312"/>
          <w:color w:val="auto"/>
          <w:sz w:val="28"/>
          <w:szCs w:val="28"/>
          <w:highlight w:val="none"/>
        </w:rPr>
        <w:t>技术响应</w:t>
      </w:r>
      <w:r>
        <w:rPr>
          <w:rFonts w:eastAsia="仿宋_GB2312"/>
          <w:color w:val="auto"/>
          <w:sz w:val="28"/>
          <w:szCs w:val="28"/>
          <w:highlight w:val="none"/>
        </w:rPr>
        <w:t>表；（详见附件9）</w:t>
      </w:r>
      <w:r>
        <w:rPr>
          <w:rFonts w:eastAsia="仿宋_GB2312"/>
          <w:b/>
          <w:color w:val="auto"/>
          <w:sz w:val="28"/>
          <w:szCs w:val="28"/>
          <w:highlight w:val="none"/>
        </w:rPr>
        <w:t>（必须提供，否则响应文件按无效响应处理）</w:t>
      </w:r>
    </w:p>
    <w:p>
      <w:pPr>
        <w:snapToGrid w:val="0"/>
        <w:spacing w:line="600" w:lineRule="exact"/>
        <w:ind w:firstLine="560" w:firstLineChars="200"/>
        <w:rPr>
          <w:rFonts w:eastAsia="仿宋_GB2312"/>
          <w:color w:val="auto"/>
          <w:sz w:val="28"/>
          <w:szCs w:val="28"/>
          <w:highlight w:val="none"/>
        </w:rPr>
      </w:pPr>
      <w:r>
        <w:rPr>
          <w:rFonts w:eastAsia="仿宋_GB2312"/>
          <w:color w:val="auto"/>
          <w:sz w:val="28"/>
          <w:szCs w:val="28"/>
          <w:highlight w:val="none"/>
        </w:rPr>
        <w:t>（2）服务承诺书；（详见附件10）</w:t>
      </w:r>
    </w:p>
    <w:p>
      <w:pPr>
        <w:snapToGrid w:val="0"/>
        <w:spacing w:line="600" w:lineRule="exact"/>
        <w:ind w:firstLine="560" w:firstLineChars="200"/>
        <w:rPr>
          <w:rFonts w:eastAsia="仿宋_GB2312"/>
          <w:color w:val="auto"/>
          <w:sz w:val="28"/>
          <w:szCs w:val="28"/>
          <w:highlight w:val="none"/>
        </w:rPr>
      </w:pPr>
      <w:r>
        <w:rPr>
          <w:rFonts w:eastAsia="仿宋_GB2312"/>
          <w:color w:val="auto"/>
          <w:sz w:val="28"/>
          <w:szCs w:val="28"/>
          <w:highlight w:val="none"/>
        </w:rPr>
        <w:t>（3）</w:t>
      </w:r>
      <w:r>
        <w:rPr>
          <w:rFonts w:hint="eastAsia" w:eastAsia="仿宋_GB2312"/>
          <w:color w:val="auto"/>
          <w:sz w:val="28"/>
          <w:szCs w:val="28"/>
          <w:highlight w:val="none"/>
        </w:rPr>
        <w:t>服务方案</w:t>
      </w:r>
      <w:r>
        <w:rPr>
          <w:rFonts w:eastAsia="仿宋_GB2312"/>
          <w:color w:val="auto"/>
          <w:sz w:val="28"/>
          <w:szCs w:val="28"/>
          <w:highlight w:val="none"/>
        </w:rPr>
        <w:t>；（详见附件11）</w:t>
      </w:r>
    </w:p>
    <w:p>
      <w:pPr>
        <w:snapToGrid w:val="0"/>
        <w:spacing w:line="600" w:lineRule="exact"/>
        <w:ind w:firstLine="560" w:firstLineChars="200"/>
        <w:rPr>
          <w:rFonts w:eastAsia="仿宋_GB2312"/>
          <w:color w:val="auto"/>
          <w:sz w:val="28"/>
          <w:szCs w:val="28"/>
          <w:highlight w:val="none"/>
        </w:rPr>
      </w:pPr>
      <w:r>
        <w:rPr>
          <w:rFonts w:eastAsia="仿宋_GB2312"/>
          <w:color w:val="auto"/>
          <w:sz w:val="28"/>
          <w:szCs w:val="28"/>
          <w:highlight w:val="none"/>
        </w:rPr>
        <w:t>（4）</w:t>
      </w:r>
      <w:r>
        <w:rPr>
          <w:rFonts w:hint="eastAsia" w:eastAsia="仿宋_GB2312"/>
          <w:color w:val="auto"/>
          <w:sz w:val="28"/>
          <w:szCs w:val="28"/>
          <w:highlight w:val="none"/>
        </w:rPr>
        <w:t>实施</w:t>
      </w:r>
      <w:r>
        <w:rPr>
          <w:rFonts w:eastAsia="仿宋_GB2312"/>
          <w:color w:val="auto"/>
          <w:sz w:val="28"/>
          <w:szCs w:val="28"/>
          <w:highlight w:val="none"/>
        </w:rPr>
        <w:t>方案；（详见附件12）</w:t>
      </w:r>
    </w:p>
    <w:p>
      <w:pPr>
        <w:snapToGrid w:val="0"/>
        <w:spacing w:line="600" w:lineRule="exact"/>
        <w:ind w:firstLine="560" w:firstLineChars="200"/>
        <w:rPr>
          <w:rFonts w:eastAsia="仿宋_GB2312"/>
          <w:color w:val="auto"/>
          <w:sz w:val="28"/>
          <w:szCs w:val="28"/>
          <w:highlight w:val="none"/>
        </w:rPr>
      </w:pPr>
      <w:r>
        <w:rPr>
          <w:rFonts w:eastAsia="仿宋_GB2312"/>
          <w:color w:val="auto"/>
          <w:sz w:val="28"/>
          <w:szCs w:val="28"/>
          <w:highlight w:val="none"/>
        </w:rPr>
        <w:t>（5）</w:t>
      </w:r>
      <w:r>
        <w:rPr>
          <w:rFonts w:hint="eastAsia" w:eastAsia="仿宋_GB2312"/>
          <w:color w:val="auto"/>
          <w:sz w:val="28"/>
          <w:szCs w:val="28"/>
          <w:highlight w:val="none"/>
        </w:rPr>
        <w:t>售后服务</w:t>
      </w:r>
      <w:r>
        <w:rPr>
          <w:rFonts w:eastAsia="仿宋_GB2312"/>
          <w:color w:val="auto"/>
          <w:sz w:val="28"/>
          <w:szCs w:val="28"/>
          <w:highlight w:val="none"/>
        </w:rPr>
        <w:t>方案；（详见附件13）</w:t>
      </w:r>
    </w:p>
    <w:p>
      <w:pPr>
        <w:snapToGrid w:val="0"/>
        <w:spacing w:line="600" w:lineRule="exact"/>
        <w:ind w:firstLine="560" w:firstLineChars="200"/>
        <w:jc w:val="left"/>
        <w:rPr>
          <w:color w:val="auto"/>
          <w:highlight w:val="none"/>
        </w:rPr>
      </w:pPr>
      <w:r>
        <w:rPr>
          <w:rFonts w:eastAsia="仿宋_GB2312"/>
          <w:color w:val="auto"/>
          <w:sz w:val="28"/>
          <w:szCs w:val="28"/>
          <w:highlight w:val="none"/>
        </w:rPr>
        <w:t>（6）其他；</w:t>
      </w:r>
      <w:r>
        <w:rPr>
          <w:rFonts w:hint="eastAsia" w:eastAsia="仿宋_GB2312"/>
          <w:color w:val="auto"/>
          <w:sz w:val="28"/>
          <w:szCs w:val="28"/>
          <w:highlight w:val="none"/>
        </w:rPr>
        <w:t>（详见附件</w:t>
      </w:r>
      <w:r>
        <w:rPr>
          <w:rFonts w:eastAsia="仿宋_GB2312"/>
          <w:color w:val="auto"/>
          <w:sz w:val="28"/>
          <w:szCs w:val="28"/>
          <w:highlight w:val="none"/>
        </w:rPr>
        <w:t>14</w:t>
      </w:r>
      <w:r>
        <w:rPr>
          <w:rFonts w:hint="eastAsia" w:eastAsia="仿宋_GB2312"/>
          <w:color w:val="auto"/>
          <w:sz w:val="28"/>
          <w:szCs w:val="28"/>
          <w:highlight w:val="none"/>
        </w:rPr>
        <w:t>）</w:t>
      </w:r>
    </w:p>
    <w:p>
      <w:pPr>
        <w:snapToGrid w:val="0"/>
        <w:spacing w:line="600" w:lineRule="exact"/>
        <w:ind w:firstLine="562" w:firstLineChars="200"/>
        <w:rPr>
          <w:color w:val="auto"/>
          <w:highlight w:val="none"/>
        </w:rPr>
      </w:pPr>
      <w:r>
        <w:rPr>
          <w:rFonts w:eastAsia="仿宋_GB2312"/>
          <w:b/>
          <w:bCs/>
          <w:color w:val="auto"/>
          <w:sz w:val="28"/>
          <w:szCs w:val="28"/>
          <w:highlight w:val="none"/>
        </w:rPr>
        <w:t>2.2</w:t>
      </w:r>
      <w:r>
        <w:rPr>
          <w:rFonts w:hint="eastAsia" w:eastAsia="仿宋_GB2312"/>
          <w:b/>
          <w:bCs/>
          <w:color w:val="auto"/>
          <w:sz w:val="28"/>
          <w:szCs w:val="28"/>
          <w:highlight w:val="none"/>
        </w:rPr>
        <w:t>计量单位</w:t>
      </w:r>
    </w:p>
    <w:p>
      <w:pPr>
        <w:snapToGrid w:val="0"/>
        <w:spacing w:line="600" w:lineRule="exact"/>
        <w:ind w:firstLine="560" w:firstLineChars="200"/>
        <w:rPr>
          <w:color w:val="auto"/>
          <w:highlight w:val="none"/>
        </w:rPr>
      </w:pPr>
      <w:r>
        <w:rPr>
          <w:rFonts w:eastAsia="仿宋_GB2312"/>
          <w:color w:val="auto"/>
          <w:sz w:val="28"/>
          <w:szCs w:val="28"/>
          <w:highlight w:val="none"/>
        </w:rPr>
        <w:t>2.2.1</w:t>
      </w:r>
      <w:r>
        <w:rPr>
          <w:rFonts w:hint="eastAsia" w:eastAsia="仿宋_GB2312"/>
          <w:color w:val="auto"/>
          <w:sz w:val="28"/>
          <w:szCs w:val="28"/>
          <w:highlight w:val="none"/>
        </w:rPr>
        <w:t>除技术要求中另有规定外，本文件所要求使用的计量单位均应采用国家法定计量单位。</w:t>
      </w:r>
    </w:p>
    <w:p>
      <w:pPr>
        <w:snapToGrid w:val="0"/>
        <w:spacing w:line="600" w:lineRule="exact"/>
        <w:ind w:firstLine="560" w:firstLineChars="200"/>
        <w:outlineLvl w:val="1"/>
        <w:rPr>
          <w:color w:val="auto"/>
          <w:highlight w:val="none"/>
        </w:rPr>
      </w:pPr>
      <w:bookmarkStart w:id="14" w:name="_Toc15327"/>
      <w:r>
        <w:rPr>
          <w:rFonts w:hint="eastAsia" w:eastAsia="黑体"/>
          <w:bCs/>
          <w:color w:val="auto"/>
          <w:sz w:val="28"/>
          <w:szCs w:val="28"/>
          <w:highlight w:val="none"/>
        </w:rPr>
        <w:t>三、磋商报价要求</w:t>
      </w:r>
      <w:bookmarkEnd w:id="14"/>
    </w:p>
    <w:p>
      <w:pPr>
        <w:snapToGrid w:val="0"/>
        <w:spacing w:line="600" w:lineRule="exact"/>
        <w:ind w:firstLine="560" w:firstLineChars="200"/>
        <w:rPr>
          <w:color w:val="auto"/>
          <w:highlight w:val="none"/>
        </w:rPr>
      </w:pPr>
      <w:bookmarkStart w:id="15" w:name="_Toc150"/>
      <w:r>
        <w:rPr>
          <w:rFonts w:hint="eastAsia" w:eastAsia="仿宋_GB2312"/>
          <w:color w:val="auto"/>
          <w:sz w:val="28"/>
          <w:szCs w:val="28"/>
          <w:highlight w:val="none"/>
        </w:rPr>
        <w:t>3</w:t>
      </w:r>
      <w:r>
        <w:rPr>
          <w:rFonts w:eastAsia="仿宋_GB2312"/>
          <w:color w:val="auto"/>
          <w:sz w:val="28"/>
          <w:szCs w:val="28"/>
          <w:highlight w:val="none"/>
        </w:rPr>
        <w:t>.1磋商供应商</w:t>
      </w:r>
      <w:r>
        <w:rPr>
          <w:rFonts w:hint="eastAsia" w:eastAsia="仿宋_GB2312"/>
          <w:color w:val="auto"/>
          <w:sz w:val="28"/>
          <w:szCs w:val="28"/>
          <w:highlight w:val="none"/>
        </w:rPr>
        <w:t>须按照本文件所列项目内容报价，本文件未列明的细项，</w:t>
      </w:r>
      <w:r>
        <w:rPr>
          <w:rFonts w:eastAsia="仿宋_GB2312"/>
          <w:color w:val="auto"/>
          <w:sz w:val="28"/>
          <w:szCs w:val="28"/>
          <w:highlight w:val="none"/>
        </w:rPr>
        <w:t>磋商供应商</w:t>
      </w:r>
      <w:r>
        <w:rPr>
          <w:rFonts w:hint="eastAsia" w:eastAsia="仿宋_GB2312"/>
          <w:color w:val="auto"/>
          <w:sz w:val="28"/>
          <w:szCs w:val="28"/>
          <w:highlight w:val="none"/>
        </w:rPr>
        <w:t>可根据会务执行实际情况列入报价清单，如结算时未发生的将不予以计算。</w:t>
      </w:r>
      <w:r>
        <w:rPr>
          <w:rFonts w:eastAsia="仿宋_GB2312"/>
          <w:color w:val="auto"/>
          <w:sz w:val="28"/>
          <w:szCs w:val="28"/>
          <w:highlight w:val="none"/>
        </w:rPr>
        <w:t xml:space="preserve"> </w:t>
      </w:r>
    </w:p>
    <w:p>
      <w:pPr>
        <w:snapToGrid w:val="0"/>
        <w:spacing w:line="600" w:lineRule="exact"/>
        <w:ind w:firstLine="560" w:firstLineChars="200"/>
        <w:outlineLvl w:val="1"/>
        <w:rPr>
          <w:rFonts w:hint="eastAsia" w:eastAsia="黑体"/>
          <w:bCs/>
          <w:color w:val="auto"/>
          <w:sz w:val="28"/>
          <w:szCs w:val="28"/>
          <w:highlight w:val="none"/>
        </w:rPr>
      </w:pPr>
      <w:r>
        <w:rPr>
          <w:rFonts w:hint="eastAsia" w:eastAsia="黑体"/>
          <w:bCs/>
          <w:color w:val="auto"/>
          <w:sz w:val="28"/>
          <w:szCs w:val="28"/>
          <w:highlight w:val="none"/>
        </w:rPr>
        <w:t>四、竞争性磋商响应文件的份数、封装和递交</w:t>
      </w:r>
      <w:bookmarkEnd w:id="15"/>
    </w:p>
    <w:p>
      <w:pPr>
        <w:snapToGrid w:val="0"/>
        <w:spacing w:line="600" w:lineRule="exact"/>
        <w:ind w:firstLine="560" w:firstLineChars="200"/>
        <w:rPr>
          <w:rFonts w:hint="eastAsia" w:eastAsia="仿宋_GB2312"/>
          <w:b/>
          <w:bCs/>
          <w:caps/>
          <w:color w:val="auto"/>
          <w:sz w:val="28"/>
          <w:szCs w:val="28"/>
          <w:highlight w:val="none"/>
        </w:rPr>
      </w:pPr>
      <w:r>
        <w:rPr>
          <w:rFonts w:hint="eastAsia" w:eastAsia="仿宋_GB2312"/>
          <w:color w:val="auto"/>
          <w:sz w:val="28"/>
          <w:szCs w:val="28"/>
          <w:highlight w:val="none"/>
        </w:rPr>
        <w:t>响应文件的份数：商务文件和资格证明文件合并装订，正本1份，副本2份；技术文件单独装订，正本1份，副本2份。</w:t>
      </w:r>
    </w:p>
    <w:p>
      <w:pPr>
        <w:pStyle w:val="14"/>
        <w:snapToGrid w:val="0"/>
        <w:spacing w:before="0" w:after="0" w:line="600" w:lineRule="exact"/>
        <w:ind w:firstLine="560" w:firstLineChars="200"/>
        <w:rPr>
          <w:rFonts w:hint="eastAsia" w:ascii="Times New Roman" w:hAnsi="Times New Roman" w:eastAsia="仿宋_GB2312"/>
          <w:b w:val="0"/>
          <w:bCs w:val="0"/>
          <w:caps w:val="0"/>
          <w:color w:val="auto"/>
          <w:sz w:val="28"/>
          <w:szCs w:val="28"/>
          <w:highlight w:val="none"/>
        </w:rPr>
      </w:pPr>
      <w:r>
        <w:rPr>
          <w:rFonts w:hint="eastAsia" w:ascii="Times New Roman" w:hAnsi="Times New Roman" w:eastAsia="仿宋_GB2312"/>
          <w:b w:val="0"/>
          <w:bCs w:val="0"/>
          <w:caps w:val="0"/>
          <w:color w:val="auto"/>
          <w:sz w:val="28"/>
          <w:szCs w:val="28"/>
          <w:highlight w:val="none"/>
        </w:rPr>
        <w:t>响应文件密封方式：响应文件盖，纸质版装入响应文件袋（箱）中密封投递。</w:t>
      </w:r>
    </w:p>
    <w:p>
      <w:pPr>
        <w:pStyle w:val="14"/>
        <w:snapToGrid w:val="0"/>
        <w:spacing w:before="0" w:after="0" w:line="600" w:lineRule="exact"/>
        <w:ind w:firstLine="562" w:firstLineChars="200"/>
        <w:rPr>
          <w:color w:val="auto"/>
          <w:highlight w:val="none"/>
        </w:rPr>
      </w:pPr>
      <w:r>
        <w:rPr>
          <w:rFonts w:ascii="仿宋_GB2312" w:hAnsi="仿宋_GB2312" w:eastAsia="仿宋_GB2312" w:cs="仿宋_GB2312"/>
          <w:color w:val="auto"/>
          <w:sz w:val="28"/>
          <w:szCs w:val="28"/>
          <w:highlight w:val="none"/>
        </w:rPr>
        <w:t>4.1</w:t>
      </w:r>
      <w:r>
        <w:rPr>
          <w:rFonts w:hint="eastAsia" w:ascii="仿宋_GB2312" w:hAnsi="仿宋_GB2312" w:eastAsia="仿宋_GB2312" w:cs="仿宋_GB2312"/>
          <w:color w:val="auto"/>
          <w:sz w:val="28"/>
          <w:szCs w:val="28"/>
          <w:highlight w:val="none"/>
        </w:rPr>
        <w:t>磋商响应文件的份数和封装</w:t>
      </w:r>
    </w:p>
    <w:p>
      <w:pPr>
        <w:snapToGrid w:val="0"/>
        <w:spacing w:line="600" w:lineRule="exact"/>
        <w:ind w:firstLine="560" w:firstLineChars="200"/>
        <w:rPr>
          <w:color w:val="auto"/>
          <w:highlight w:val="none"/>
        </w:rPr>
      </w:pPr>
      <w:r>
        <w:rPr>
          <w:rFonts w:eastAsia="仿宋_GB2312"/>
          <w:color w:val="auto"/>
          <w:sz w:val="28"/>
          <w:szCs w:val="28"/>
          <w:highlight w:val="none"/>
        </w:rPr>
        <w:t>4.1.1磋商供应商应将竞争性磋商响应文件递交</w:t>
      </w:r>
      <w:r>
        <w:rPr>
          <w:rFonts w:hint="eastAsia" w:eastAsia="仿宋_GB2312"/>
          <w:color w:val="auto"/>
          <w:sz w:val="28"/>
          <w:szCs w:val="28"/>
          <w:highlight w:val="none"/>
        </w:rPr>
        <w:t>广西会展时空信息科技有限公司</w:t>
      </w:r>
      <w:r>
        <w:rPr>
          <w:rFonts w:eastAsia="仿宋_GB2312"/>
          <w:color w:val="auto"/>
          <w:sz w:val="28"/>
          <w:szCs w:val="28"/>
          <w:highlight w:val="none"/>
        </w:rPr>
        <w:t>。</w:t>
      </w:r>
    </w:p>
    <w:p>
      <w:pPr>
        <w:snapToGrid w:val="0"/>
        <w:spacing w:line="600" w:lineRule="exact"/>
        <w:ind w:firstLine="560" w:firstLineChars="200"/>
        <w:rPr>
          <w:color w:val="auto"/>
          <w:highlight w:val="none"/>
        </w:rPr>
      </w:pPr>
      <w:r>
        <w:rPr>
          <w:rFonts w:eastAsia="仿宋_GB2312"/>
          <w:color w:val="auto"/>
          <w:sz w:val="28"/>
          <w:szCs w:val="28"/>
          <w:highlight w:val="none"/>
        </w:rPr>
        <w:t>4.1.2</w:t>
      </w:r>
      <w:r>
        <w:rPr>
          <w:rFonts w:hint="eastAsia" w:ascii="仿宋_GB2312" w:hAnsi="仿宋_GB2312" w:eastAsia="仿宋_GB2312" w:cs="仿宋_GB2312"/>
          <w:color w:val="auto"/>
          <w:sz w:val="28"/>
          <w:szCs w:val="28"/>
          <w:highlight w:val="none"/>
        </w:rPr>
        <w:t>竞争性磋商响应文件的外层包封上应写明：</w:t>
      </w:r>
    </w:p>
    <w:p>
      <w:pPr>
        <w:snapToGrid w:val="0"/>
        <w:spacing w:line="600" w:lineRule="exact"/>
        <w:ind w:firstLine="560" w:firstLineChars="200"/>
        <w:rPr>
          <w:color w:val="auto"/>
          <w:highlight w:val="none"/>
        </w:rPr>
      </w:pPr>
      <w:r>
        <w:rPr>
          <w:rFonts w:hint="eastAsia" w:eastAsia="仿宋_GB2312"/>
          <w:color w:val="auto"/>
          <w:sz w:val="28"/>
          <w:szCs w:val="28"/>
          <w:highlight w:val="none"/>
        </w:rPr>
        <w:t>(</w:t>
      </w:r>
      <w:r>
        <w:rPr>
          <w:rFonts w:eastAsia="仿宋_GB2312"/>
          <w:color w:val="auto"/>
          <w:sz w:val="28"/>
          <w:szCs w:val="28"/>
          <w:highlight w:val="none"/>
        </w:rPr>
        <w:t>1</w:t>
      </w:r>
      <w:r>
        <w:rPr>
          <w:rFonts w:hint="eastAsia" w:eastAsia="仿宋_GB2312"/>
          <w:color w:val="auto"/>
          <w:sz w:val="28"/>
          <w:szCs w:val="28"/>
          <w:highlight w:val="none"/>
        </w:rPr>
        <w:t xml:space="preserve">) </w:t>
      </w:r>
      <w:r>
        <w:rPr>
          <w:rFonts w:hint="eastAsia" w:ascii="仿宋_GB2312" w:hAnsi="仿宋_GB2312" w:eastAsia="仿宋_GB2312" w:cs="仿宋_GB2312"/>
          <w:color w:val="auto"/>
          <w:sz w:val="28"/>
          <w:szCs w:val="28"/>
          <w:highlight w:val="none"/>
        </w:rPr>
        <w:t>竞争性磋商项目名称；</w:t>
      </w:r>
    </w:p>
    <w:p>
      <w:pPr>
        <w:snapToGrid w:val="0"/>
        <w:spacing w:line="600" w:lineRule="exact"/>
        <w:ind w:firstLine="560" w:firstLineChars="200"/>
        <w:rPr>
          <w:rFonts w:ascii="仿宋_GB2312" w:hAnsi="仿宋_GB2312" w:eastAsia="仿宋_GB2312" w:cs="仿宋_GB2312"/>
          <w:color w:val="auto"/>
          <w:sz w:val="28"/>
          <w:szCs w:val="28"/>
          <w:highlight w:val="none"/>
        </w:rPr>
      </w:pPr>
      <w:r>
        <w:rPr>
          <w:rFonts w:eastAsia="仿宋_GB2312"/>
          <w:color w:val="auto"/>
          <w:sz w:val="28"/>
          <w:szCs w:val="28"/>
          <w:highlight w:val="none"/>
        </w:rPr>
        <w:t>(2</w:t>
      </w:r>
      <w:r>
        <w:rPr>
          <w:rFonts w:hint="eastAsia" w:eastAsia="仿宋_GB2312"/>
          <w:color w:val="auto"/>
          <w:sz w:val="28"/>
          <w:szCs w:val="28"/>
          <w:highlight w:val="none"/>
        </w:rPr>
        <w:t xml:space="preserve">) </w:t>
      </w:r>
      <w:r>
        <w:rPr>
          <w:rFonts w:hint="eastAsia" w:ascii="仿宋_GB2312" w:hAnsi="仿宋_GB2312" w:eastAsia="仿宋_GB2312" w:cs="仿宋_GB2312"/>
          <w:color w:val="auto"/>
          <w:sz w:val="28"/>
          <w:szCs w:val="28"/>
          <w:highlight w:val="none"/>
        </w:rPr>
        <w:t>磋商</w:t>
      </w:r>
      <w:r>
        <w:rPr>
          <w:rFonts w:ascii="仿宋_GB2312" w:hAnsi="仿宋_GB2312" w:eastAsia="仿宋_GB2312" w:cs="仿宋_GB2312"/>
          <w:color w:val="auto"/>
          <w:sz w:val="28"/>
          <w:szCs w:val="28"/>
          <w:highlight w:val="none"/>
        </w:rPr>
        <w:t>供应商</w:t>
      </w:r>
      <w:r>
        <w:rPr>
          <w:rFonts w:hint="eastAsia" w:ascii="仿宋_GB2312" w:hAnsi="仿宋_GB2312" w:eastAsia="仿宋_GB2312" w:cs="仿宋_GB2312"/>
          <w:color w:val="auto"/>
          <w:sz w:val="28"/>
          <w:szCs w:val="28"/>
          <w:highlight w:val="none"/>
        </w:rPr>
        <w:t>名称；</w:t>
      </w:r>
    </w:p>
    <w:p>
      <w:pPr>
        <w:snapToGrid w:val="0"/>
        <w:spacing w:line="600" w:lineRule="exact"/>
        <w:ind w:firstLine="560" w:firstLineChars="200"/>
        <w:rPr>
          <w:rFonts w:eastAsia="仿宋_GB2312"/>
          <w:color w:val="auto"/>
          <w:sz w:val="28"/>
          <w:szCs w:val="28"/>
          <w:highlight w:val="none"/>
        </w:rPr>
      </w:pPr>
      <w:r>
        <w:rPr>
          <w:rFonts w:eastAsia="仿宋_GB2312"/>
          <w:color w:val="auto"/>
          <w:sz w:val="28"/>
          <w:szCs w:val="28"/>
          <w:highlight w:val="none"/>
        </w:rPr>
        <w:t>(3</w:t>
      </w:r>
      <w:r>
        <w:rPr>
          <w:rFonts w:hint="eastAsia" w:eastAsia="仿宋_GB2312"/>
          <w:color w:val="auto"/>
          <w:sz w:val="28"/>
          <w:szCs w:val="28"/>
          <w:highlight w:val="none"/>
        </w:rPr>
        <w:t>)</w:t>
      </w:r>
      <w:r>
        <w:rPr>
          <w:rFonts w:eastAsia="仿宋_GB2312"/>
          <w:color w:val="auto"/>
          <w:sz w:val="28"/>
          <w:szCs w:val="28"/>
          <w:highlight w:val="none"/>
        </w:rPr>
        <w:t xml:space="preserve"> </w:t>
      </w:r>
      <w:r>
        <w:rPr>
          <w:rFonts w:hint="eastAsia" w:eastAsia="仿宋_GB2312"/>
          <w:color w:val="auto"/>
          <w:sz w:val="28"/>
          <w:szCs w:val="28"/>
          <w:highlight w:val="none"/>
        </w:rPr>
        <w:t>供应商地址；</w:t>
      </w:r>
    </w:p>
    <w:p>
      <w:pPr>
        <w:snapToGrid w:val="0"/>
        <w:spacing w:line="600" w:lineRule="exact"/>
        <w:ind w:firstLine="560" w:firstLineChars="200"/>
        <w:rPr>
          <w:rFonts w:hint="eastAsia" w:ascii="仿宋_GB2312" w:hAnsi="仿宋_GB2312" w:eastAsia="仿宋_GB2312" w:cs="仿宋_GB2312"/>
          <w:color w:val="auto"/>
          <w:sz w:val="28"/>
          <w:szCs w:val="28"/>
          <w:highlight w:val="none"/>
        </w:rPr>
      </w:pPr>
      <w:r>
        <w:rPr>
          <w:rFonts w:eastAsia="仿宋_GB2312"/>
          <w:color w:val="auto"/>
          <w:sz w:val="28"/>
          <w:szCs w:val="28"/>
          <w:highlight w:val="none"/>
        </w:rPr>
        <w:t>(4</w:t>
      </w:r>
      <w:r>
        <w:rPr>
          <w:rFonts w:hint="eastAsia" w:eastAsia="仿宋_GB2312"/>
          <w:color w:val="auto"/>
          <w:sz w:val="28"/>
          <w:szCs w:val="28"/>
          <w:highlight w:val="none"/>
        </w:rPr>
        <w:t>)</w:t>
      </w:r>
      <w:r>
        <w:rPr>
          <w:rFonts w:eastAsia="仿宋_GB2312"/>
          <w:color w:val="auto"/>
          <w:sz w:val="28"/>
          <w:szCs w:val="28"/>
          <w:highlight w:val="none"/>
        </w:rPr>
        <w:t xml:space="preserve"> </w:t>
      </w:r>
      <w:r>
        <w:rPr>
          <w:rFonts w:hint="eastAsia" w:ascii="宋体" w:hAnsi="宋体" w:eastAsia="仿宋_GB2312"/>
          <w:caps/>
          <w:color w:val="auto"/>
          <w:sz w:val="28"/>
          <w:szCs w:val="28"/>
          <w:highlight w:val="none"/>
        </w:rPr>
        <w:t>开</w:t>
      </w:r>
      <w:r>
        <w:rPr>
          <w:rFonts w:hint="eastAsia" w:ascii="仿宋_GB2312" w:hAnsi="仿宋_GB2312" w:eastAsia="仿宋_GB2312" w:cs="仿宋_GB2312"/>
          <w:color w:val="auto"/>
          <w:sz w:val="28"/>
          <w:szCs w:val="28"/>
          <w:highlight w:val="none"/>
        </w:rPr>
        <w:t>标时才能开启。</w:t>
      </w:r>
    </w:p>
    <w:p>
      <w:pPr>
        <w:snapToGrid w:val="0"/>
        <w:spacing w:line="600" w:lineRule="exact"/>
        <w:ind w:firstLine="562" w:firstLineChars="200"/>
        <w:rPr>
          <w:color w:val="auto"/>
          <w:highlight w:val="none"/>
        </w:rPr>
      </w:pPr>
      <w:r>
        <w:rPr>
          <w:rFonts w:ascii="仿宋_GB2312" w:hAnsi="仿宋_GB2312" w:eastAsia="仿宋_GB2312" w:cs="仿宋_GB2312"/>
          <w:b/>
          <w:bCs/>
          <w:caps/>
          <w:color w:val="auto"/>
          <w:sz w:val="28"/>
          <w:szCs w:val="28"/>
          <w:highlight w:val="none"/>
        </w:rPr>
        <w:t>4.2</w:t>
      </w:r>
      <w:r>
        <w:rPr>
          <w:rFonts w:hint="eastAsia" w:ascii="仿宋_GB2312" w:hAnsi="仿宋_GB2312" w:eastAsia="仿宋_GB2312" w:cs="仿宋_GB2312"/>
          <w:b/>
          <w:bCs/>
          <w:color w:val="auto"/>
          <w:sz w:val="28"/>
          <w:szCs w:val="28"/>
          <w:highlight w:val="none"/>
        </w:rPr>
        <w:t>竞争性磋商响应文件的递交</w:t>
      </w:r>
    </w:p>
    <w:p>
      <w:pPr>
        <w:snapToGrid w:val="0"/>
        <w:spacing w:line="600" w:lineRule="exact"/>
        <w:ind w:firstLine="560" w:firstLineChars="200"/>
        <w:rPr>
          <w:rFonts w:hint="eastAsia" w:eastAsia="仿宋_GB2312"/>
          <w:color w:val="auto"/>
          <w:highlight w:val="none"/>
        </w:rPr>
      </w:pPr>
      <w:r>
        <w:rPr>
          <w:rFonts w:hint="eastAsia" w:ascii="仿宋_GB2312" w:hAnsi="仿宋_GB2312" w:eastAsia="仿宋_GB2312" w:cs="仿宋_GB2312"/>
          <w:color w:val="auto"/>
          <w:sz w:val="28"/>
          <w:szCs w:val="28"/>
          <w:highlight w:val="none"/>
        </w:rPr>
        <w:t>所有竞争性磋商响应文件应于“第一章</w:t>
      </w:r>
      <w:r>
        <w:rPr>
          <w:rFonts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rPr>
        <w:t>磋商邀请函”中规定的时间递交广西会展时空信息科技有限公司。</w:t>
      </w:r>
    </w:p>
    <w:p>
      <w:pPr>
        <w:snapToGrid w:val="0"/>
        <w:spacing w:line="600" w:lineRule="exact"/>
        <w:ind w:firstLine="562" w:firstLineChars="200"/>
        <w:rPr>
          <w:color w:val="auto"/>
          <w:highlight w:val="none"/>
        </w:rPr>
      </w:pPr>
      <w:r>
        <w:rPr>
          <w:rFonts w:ascii="仿宋_GB2312" w:hAnsi="仿宋_GB2312" w:eastAsia="仿宋_GB2312" w:cs="仿宋_GB2312"/>
          <w:b/>
          <w:bCs/>
          <w:caps/>
          <w:color w:val="auto"/>
          <w:sz w:val="28"/>
          <w:szCs w:val="28"/>
          <w:highlight w:val="none"/>
        </w:rPr>
        <w:t>4.3</w:t>
      </w:r>
      <w:r>
        <w:rPr>
          <w:rFonts w:hint="eastAsia" w:ascii="仿宋_GB2312" w:hAnsi="仿宋_GB2312" w:eastAsia="仿宋_GB2312" w:cs="仿宋_GB2312"/>
          <w:b/>
          <w:bCs/>
          <w:color w:val="auto"/>
          <w:sz w:val="28"/>
          <w:szCs w:val="28"/>
          <w:highlight w:val="none"/>
        </w:rPr>
        <w:t>迟交的竞争性磋商响应文件</w:t>
      </w:r>
    </w:p>
    <w:p>
      <w:pPr>
        <w:snapToGrid w:val="0"/>
        <w:spacing w:line="600" w:lineRule="exact"/>
        <w:ind w:firstLine="560" w:firstLineChars="200"/>
        <w:rPr>
          <w:color w:val="auto"/>
          <w:highlight w:val="none"/>
        </w:rPr>
      </w:pPr>
      <w:r>
        <w:rPr>
          <w:rFonts w:hint="eastAsia" w:ascii="仿宋_GB2312" w:hAnsi="仿宋_GB2312" w:eastAsia="仿宋_GB2312" w:cs="仿宋_GB2312"/>
          <w:color w:val="auto"/>
          <w:sz w:val="28"/>
          <w:szCs w:val="28"/>
          <w:highlight w:val="none"/>
        </w:rPr>
        <w:t>采购单位将拒绝或原封退回在其规定的递交竞争性磋商响应文件截止时间之后收到的任何竞争性磋商响应文件。</w:t>
      </w:r>
    </w:p>
    <w:p>
      <w:pPr>
        <w:snapToGrid w:val="0"/>
        <w:spacing w:line="600" w:lineRule="exact"/>
        <w:ind w:firstLine="560" w:firstLineChars="200"/>
        <w:outlineLvl w:val="1"/>
        <w:rPr>
          <w:color w:val="auto"/>
          <w:highlight w:val="none"/>
        </w:rPr>
      </w:pPr>
      <w:bookmarkStart w:id="16" w:name="_Toc17194"/>
      <w:r>
        <w:rPr>
          <w:rFonts w:hint="eastAsia" w:eastAsia="黑体"/>
          <w:bCs/>
          <w:color w:val="auto"/>
          <w:sz w:val="28"/>
          <w:szCs w:val="28"/>
          <w:highlight w:val="none"/>
        </w:rPr>
        <w:t>五、磋商</w:t>
      </w:r>
      <w:bookmarkEnd w:id="16"/>
      <w:r>
        <w:rPr>
          <w:rFonts w:eastAsia="黑体"/>
          <w:bCs/>
          <w:color w:val="auto"/>
          <w:sz w:val="28"/>
          <w:szCs w:val="28"/>
          <w:highlight w:val="none"/>
        </w:rPr>
        <w:t>与评标</w:t>
      </w:r>
    </w:p>
    <w:p>
      <w:pPr>
        <w:snapToGrid w:val="0"/>
        <w:spacing w:line="600" w:lineRule="exact"/>
        <w:ind w:firstLine="560" w:firstLineChars="200"/>
        <w:rPr>
          <w:rFonts w:eastAsia="仿宋_GB2312"/>
          <w:color w:val="auto"/>
          <w:sz w:val="28"/>
          <w:szCs w:val="28"/>
          <w:highlight w:val="none"/>
        </w:rPr>
      </w:pPr>
      <w:r>
        <w:rPr>
          <w:rFonts w:eastAsia="微软雅黑"/>
          <w:color w:val="auto"/>
          <w:sz w:val="28"/>
          <w:szCs w:val="28"/>
          <w:highlight w:val="none"/>
          <w:shd w:val="clear" w:color="auto" w:fill="FFFFFF"/>
        </w:rPr>
        <w:t>5.1</w:t>
      </w:r>
      <w:r>
        <w:rPr>
          <w:rFonts w:hint="eastAsia" w:ascii="仿宋_GB2312" w:hAnsi="仿宋_GB2312" w:eastAsia="仿宋_GB2312" w:cs="仿宋_GB2312"/>
          <w:color w:val="auto"/>
          <w:sz w:val="28"/>
          <w:szCs w:val="28"/>
          <w:highlight w:val="none"/>
        </w:rPr>
        <w:t>投标文件属下列情况之一的，应当在资格性、符合性检查时按照无效投标处理：</w:t>
      </w:r>
    </w:p>
    <w:p>
      <w:pPr>
        <w:snapToGrid w:val="0"/>
        <w:spacing w:line="600" w:lineRule="exact"/>
        <w:ind w:firstLine="560" w:firstLineChars="200"/>
        <w:rPr>
          <w:rFonts w:eastAsia="仿宋_GB2312"/>
          <w:color w:val="auto"/>
          <w:sz w:val="28"/>
          <w:szCs w:val="28"/>
          <w:highlight w:val="none"/>
        </w:rPr>
      </w:pPr>
      <w:r>
        <w:rPr>
          <w:rFonts w:eastAsia="仿宋_GB2312"/>
          <w:color w:val="auto"/>
          <w:sz w:val="28"/>
          <w:szCs w:val="28"/>
          <w:highlight w:val="none"/>
        </w:rPr>
        <w:t>(1</w:t>
      </w:r>
      <w:r>
        <w:rPr>
          <w:rFonts w:hint="eastAsia" w:eastAsia="仿宋_GB2312"/>
          <w:color w:val="auto"/>
          <w:sz w:val="28"/>
          <w:szCs w:val="28"/>
          <w:highlight w:val="none"/>
        </w:rPr>
        <w:t xml:space="preserve">) </w:t>
      </w:r>
      <w:r>
        <w:rPr>
          <w:rFonts w:eastAsia="仿宋_GB2312"/>
          <w:color w:val="auto"/>
          <w:sz w:val="28"/>
          <w:szCs w:val="28"/>
          <w:highlight w:val="none"/>
        </w:rPr>
        <w:t>未交应交投标保证金的；</w:t>
      </w:r>
    </w:p>
    <w:p>
      <w:pPr>
        <w:snapToGrid w:val="0"/>
        <w:spacing w:line="600" w:lineRule="exact"/>
        <w:ind w:firstLine="560" w:firstLineChars="200"/>
        <w:rPr>
          <w:rFonts w:eastAsia="仿宋_GB2312"/>
          <w:color w:val="auto"/>
          <w:sz w:val="28"/>
          <w:szCs w:val="28"/>
          <w:highlight w:val="none"/>
        </w:rPr>
      </w:pPr>
      <w:r>
        <w:rPr>
          <w:rFonts w:hint="eastAsia" w:eastAsia="仿宋_GB2312"/>
          <w:color w:val="auto"/>
          <w:sz w:val="28"/>
          <w:szCs w:val="28"/>
          <w:highlight w:val="none"/>
        </w:rPr>
        <w:t>(</w:t>
      </w:r>
      <w:r>
        <w:rPr>
          <w:rFonts w:eastAsia="仿宋_GB2312"/>
          <w:color w:val="auto"/>
          <w:sz w:val="28"/>
          <w:szCs w:val="28"/>
          <w:highlight w:val="none"/>
        </w:rPr>
        <w:t>2</w:t>
      </w:r>
      <w:r>
        <w:rPr>
          <w:rFonts w:hint="eastAsia" w:eastAsia="仿宋_GB2312"/>
          <w:color w:val="auto"/>
          <w:sz w:val="28"/>
          <w:szCs w:val="28"/>
          <w:highlight w:val="none"/>
        </w:rPr>
        <w:t xml:space="preserve">) </w:t>
      </w:r>
      <w:r>
        <w:rPr>
          <w:rFonts w:eastAsia="仿宋_GB2312"/>
          <w:color w:val="auto"/>
          <w:sz w:val="28"/>
          <w:szCs w:val="28"/>
          <w:highlight w:val="none"/>
        </w:rPr>
        <w:t>未按照招标文件规定要求密封、签署、盖章的；</w:t>
      </w:r>
    </w:p>
    <w:p>
      <w:pPr>
        <w:snapToGrid w:val="0"/>
        <w:spacing w:line="600" w:lineRule="exact"/>
        <w:ind w:firstLine="560" w:firstLineChars="200"/>
        <w:rPr>
          <w:rFonts w:hint="eastAsia" w:eastAsia="仿宋_GB2312"/>
          <w:color w:val="auto"/>
          <w:sz w:val="28"/>
          <w:szCs w:val="28"/>
          <w:highlight w:val="none"/>
        </w:rPr>
      </w:pPr>
      <w:r>
        <w:rPr>
          <w:rFonts w:hint="eastAsia" w:eastAsia="仿宋_GB2312"/>
          <w:color w:val="auto"/>
          <w:sz w:val="28"/>
          <w:szCs w:val="28"/>
          <w:highlight w:val="none"/>
        </w:rPr>
        <w:t>(</w:t>
      </w:r>
      <w:r>
        <w:rPr>
          <w:rFonts w:eastAsia="仿宋_GB2312"/>
          <w:color w:val="auto"/>
          <w:sz w:val="28"/>
          <w:szCs w:val="28"/>
          <w:highlight w:val="none"/>
        </w:rPr>
        <w:t>3</w:t>
      </w:r>
      <w:r>
        <w:rPr>
          <w:rFonts w:hint="eastAsia" w:eastAsia="仿宋_GB2312"/>
          <w:color w:val="auto"/>
          <w:sz w:val="28"/>
          <w:szCs w:val="28"/>
          <w:highlight w:val="none"/>
        </w:rPr>
        <w:t xml:space="preserve">) </w:t>
      </w:r>
      <w:r>
        <w:rPr>
          <w:rFonts w:eastAsia="仿宋_GB2312"/>
          <w:color w:val="auto"/>
          <w:sz w:val="28"/>
          <w:szCs w:val="28"/>
          <w:highlight w:val="none"/>
        </w:rPr>
        <w:t>联合体投标未附联合体各方共同投标协议的</w:t>
      </w:r>
      <w:r>
        <w:rPr>
          <w:rFonts w:hint="eastAsia" w:eastAsia="仿宋_GB2312"/>
          <w:color w:val="auto"/>
          <w:sz w:val="28"/>
          <w:szCs w:val="28"/>
          <w:highlight w:val="none"/>
        </w:rPr>
        <w:t>；</w:t>
      </w:r>
    </w:p>
    <w:p>
      <w:pPr>
        <w:snapToGrid w:val="0"/>
        <w:spacing w:line="600" w:lineRule="exact"/>
        <w:ind w:firstLine="560" w:firstLineChars="200"/>
        <w:rPr>
          <w:rFonts w:eastAsia="仿宋_GB2312"/>
          <w:color w:val="auto"/>
          <w:sz w:val="28"/>
          <w:szCs w:val="28"/>
          <w:highlight w:val="none"/>
        </w:rPr>
      </w:pPr>
      <w:r>
        <w:rPr>
          <w:rFonts w:hint="eastAsia" w:eastAsia="仿宋_GB2312"/>
          <w:color w:val="auto"/>
          <w:sz w:val="28"/>
          <w:szCs w:val="28"/>
          <w:highlight w:val="none"/>
        </w:rPr>
        <w:t>(</w:t>
      </w:r>
      <w:r>
        <w:rPr>
          <w:rFonts w:eastAsia="仿宋_GB2312"/>
          <w:color w:val="auto"/>
          <w:sz w:val="28"/>
          <w:szCs w:val="28"/>
          <w:highlight w:val="none"/>
        </w:rPr>
        <w:t>4</w:t>
      </w:r>
      <w:r>
        <w:rPr>
          <w:rFonts w:hint="eastAsia" w:eastAsia="仿宋_GB2312"/>
          <w:color w:val="auto"/>
          <w:sz w:val="28"/>
          <w:szCs w:val="28"/>
          <w:highlight w:val="none"/>
        </w:rPr>
        <w:t xml:space="preserve">) </w:t>
      </w:r>
      <w:r>
        <w:rPr>
          <w:rFonts w:eastAsia="仿宋_GB2312"/>
          <w:color w:val="auto"/>
          <w:sz w:val="28"/>
          <w:szCs w:val="28"/>
          <w:highlight w:val="none"/>
        </w:rPr>
        <w:t>不符合法律、法规和招标文件中规定的其他实质性要求的。投标文件属下列情况之一的，应当在资格性、符合性检查时按照无效投标处理</w:t>
      </w:r>
      <w:bookmarkStart w:id="17" w:name="_Toc10608"/>
      <w:r>
        <w:rPr>
          <w:rFonts w:hint="eastAsia" w:eastAsia="仿宋_GB2312"/>
          <w:color w:val="auto"/>
          <w:sz w:val="28"/>
          <w:szCs w:val="28"/>
          <w:highlight w:val="none"/>
        </w:rPr>
        <w:t>。</w:t>
      </w:r>
      <w:r>
        <w:rPr>
          <w:rFonts w:eastAsia="仿宋_GB2312"/>
          <w:color w:val="auto"/>
          <w:sz w:val="28"/>
          <w:szCs w:val="28"/>
          <w:highlight w:val="none"/>
        </w:rPr>
        <w:t>5.</w:t>
      </w:r>
      <w:r>
        <w:rPr>
          <w:rFonts w:hint="eastAsia" w:eastAsia="仿宋_GB2312"/>
          <w:color w:val="auto"/>
          <w:sz w:val="28"/>
          <w:szCs w:val="28"/>
          <w:highlight w:val="none"/>
        </w:rPr>
        <w:t>2 开标</w:t>
      </w:r>
      <w:bookmarkEnd w:id="17"/>
      <w:r>
        <w:rPr>
          <w:rFonts w:hint="eastAsia" w:eastAsia="仿宋_GB2312"/>
          <w:color w:val="auto"/>
          <w:sz w:val="28"/>
          <w:szCs w:val="28"/>
          <w:highlight w:val="none"/>
        </w:rPr>
        <w:t>采购单位按第一章</w:t>
      </w:r>
      <w:r>
        <w:rPr>
          <w:rFonts w:eastAsia="仿宋_GB2312"/>
          <w:color w:val="auto"/>
          <w:sz w:val="28"/>
          <w:szCs w:val="28"/>
          <w:highlight w:val="none"/>
        </w:rPr>
        <w:t>“</w:t>
      </w:r>
      <w:r>
        <w:rPr>
          <w:rFonts w:hint="eastAsia" w:eastAsia="仿宋_GB2312"/>
          <w:color w:val="auto"/>
          <w:sz w:val="28"/>
          <w:szCs w:val="28"/>
          <w:highlight w:val="none"/>
        </w:rPr>
        <w:t>竞争性磋商邀请书</w:t>
      </w:r>
      <w:r>
        <w:rPr>
          <w:rFonts w:eastAsia="仿宋_GB2312"/>
          <w:color w:val="auto"/>
          <w:sz w:val="28"/>
          <w:szCs w:val="28"/>
          <w:highlight w:val="none"/>
        </w:rPr>
        <w:t>”</w:t>
      </w:r>
      <w:r>
        <w:rPr>
          <w:rFonts w:hint="eastAsia" w:eastAsia="仿宋_GB2312"/>
          <w:color w:val="auto"/>
          <w:sz w:val="28"/>
          <w:szCs w:val="28"/>
          <w:highlight w:val="none"/>
        </w:rPr>
        <w:t>中约定的磋商时间及地点组织参与磋商的</w:t>
      </w:r>
      <w:r>
        <w:rPr>
          <w:rFonts w:eastAsia="仿宋_GB2312"/>
          <w:color w:val="auto"/>
          <w:sz w:val="28"/>
          <w:szCs w:val="28"/>
          <w:highlight w:val="none"/>
        </w:rPr>
        <w:t>供应商</w:t>
      </w:r>
      <w:r>
        <w:rPr>
          <w:rFonts w:hint="eastAsia" w:eastAsia="仿宋_GB2312"/>
          <w:color w:val="auto"/>
          <w:sz w:val="28"/>
          <w:szCs w:val="28"/>
          <w:highlight w:val="none"/>
        </w:rPr>
        <w:t>召开开标会议，对本次磋商事项进行简要说明，并当众拆封磋商响应文件，审查</w:t>
      </w:r>
      <w:r>
        <w:rPr>
          <w:rFonts w:eastAsia="仿宋_GB2312"/>
          <w:color w:val="auto"/>
          <w:sz w:val="28"/>
          <w:szCs w:val="28"/>
          <w:highlight w:val="none"/>
        </w:rPr>
        <w:t>磋商</w:t>
      </w:r>
      <w:r>
        <w:rPr>
          <w:rFonts w:hint="eastAsia" w:eastAsia="仿宋_GB2312"/>
          <w:color w:val="auto"/>
          <w:sz w:val="28"/>
          <w:szCs w:val="28"/>
          <w:highlight w:val="none"/>
        </w:rPr>
        <w:t>供应商的相关资质。</w:t>
      </w:r>
    </w:p>
    <w:p>
      <w:pPr>
        <w:snapToGrid w:val="0"/>
        <w:spacing w:line="600" w:lineRule="exact"/>
        <w:ind w:firstLine="560" w:firstLineChars="200"/>
        <w:rPr>
          <w:rFonts w:eastAsia="仿宋_GB2312"/>
          <w:color w:val="auto"/>
          <w:sz w:val="28"/>
          <w:szCs w:val="28"/>
          <w:highlight w:val="none"/>
        </w:rPr>
      </w:pPr>
      <w:bookmarkStart w:id="18" w:name="_Toc3085"/>
      <w:r>
        <w:rPr>
          <w:rFonts w:eastAsia="仿宋_GB2312"/>
          <w:color w:val="auto"/>
          <w:sz w:val="28"/>
          <w:szCs w:val="28"/>
          <w:highlight w:val="none"/>
        </w:rPr>
        <w:t>5.</w:t>
      </w:r>
      <w:r>
        <w:rPr>
          <w:rFonts w:hint="eastAsia" w:eastAsia="仿宋_GB2312"/>
          <w:color w:val="auto"/>
          <w:sz w:val="28"/>
          <w:szCs w:val="28"/>
          <w:highlight w:val="none"/>
        </w:rPr>
        <w:t>3 磋商</w:t>
      </w:r>
      <w:bookmarkEnd w:id="18"/>
      <w:r>
        <w:rPr>
          <w:rFonts w:hint="eastAsia" w:eastAsia="仿宋_GB2312"/>
          <w:color w:val="auto"/>
          <w:sz w:val="28"/>
          <w:szCs w:val="28"/>
          <w:highlight w:val="none"/>
        </w:rPr>
        <w:t>采购单位成立磋商小组，按</w:t>
      </w:r>
      <w:r>
        <w:rPr>
          <w:rFonts w:eastAsia="仿宋_GB2312"/>
          <w:color w:val="auto"/>
          <w:sz w:val="28"/>
          <w:szCs w:val="28"/>
          <w:highlight w:val="none"/>
        </w:rPr>
        <w:t>磋商供应商</w:t>
      </w:r>
      <w:r>
        <w:rPr>
          <w:rFonts w:hint="eastAsia" w:eastAsia="仿宋_GB2312"/>
          <w:color w:val="auto"/>
          <w:sz w:val="28"/>
          <w:szCs w:val="28"/>
          <w:highlight w:val="none"/>
        </w:rPr>
        <w:t>的签到顺序与单一</w:t>
      </w:r>
      <w:r>
        <w:rPr>
          <w:rFonts w:eastAsia="仿宋_GB2312"/>
          <w:color w:val="auto"/>
          <w:sz w:val="28"/>
          <w:szCs w:val="28"/>
          <w:highlight w:val="none"/>
        </w:rPr>
        <w:t>磋商供应商</w:t>
      </w:r>
      <w:r>
        <w:rPr>
          <w:rFonts w:hint="eastAsia" w:eastAsia="仿宋_GB2312"/>
          <w:color w:val="auto"/>
          <w:sz w:val="28"/>
          <w:szCs w:val="28"/>
          <w:highlight w:val="none"/>
        </w:rPr>
        <w:t>分别就符合论坛执行等内容进行磋商。</w:t>
      </w:r>
    </w:p>
    <w:p>
      <w:pPr>
        <w:snapToGrid w:val="0"/>
        <w:spacing w:line="600" w:lineRule="exact"/>
        <w:ind w:firstLine="560" w:firstLineChars="200"/>
        <w:rPr>
          <w:color w:val="auto"/>
          <w:highlight w:val="none"/>
        </w:rPr>
      </w:pPr>
      <w:r>
        <w:rPr>
          <w:rFonts w:hint="eastAsia" w:eastAsia="仿宋_GB2312"/>
          <w:color w:val="auto"/>
          <w:sz w:val="28"/>
          <w:szCs w:val="28"/>
          <w:highlight w:val="none"/>
        </w:rPr>
        <w:t>磋商中，磋商的任何一方不得透露与磋商有关的其他供</w:t>
      </w:r>
      <w:r>
        <w:rPr>
          <w:rFonts w:eastAsia="仿宋_GB2312"/>
          <w:color w:val="auto"/>
          <w:sz w:val="28"/>
          <w:szCs w:val="28"/>
          <w:highlight w:val="none"/>
        </w:rPr>
        <w:t>磋商供应商</w:t>
      </w:r>
      <w:r>
        <w:rPr>
          <w:rFonts w:hint="eastAsia" w:eastAsia="仿宋_GB2312"/>
          <w:color w:val="auto"/>
          <w:sz w:val="28"/>
          <w:szCs w:val="28"/>
          <w:highlight w:val="none"/>
        </w:rPr>
        <w:t>的技术资料、价格和其他信息。</w:t>
      </w:r>
    </w:p>
    <w:p>
      <w:pPr>
        <w:snapToGrid w:val="0"/>
        <w:spacing w:line="600" w:lineRule="exact"/>
        <w:ind w:firstLine="560" w:firstLineChars="200"/>
        <w:rPr>
          <w:color w:val="auto"/>
          <w:highlight w:val="none"/>
        </w:rPr>
      </w:pPr>
      <w:r>
        <w:rPr>
          <w:rFonts w:hint="eastAsia" w:eastAsia="仿宋_GB2312"/>
          <w:color w:val="auto"/>
          <w:sz w:val="28"/>
          <w:szCs w:val="28"/>
          <w:highlight w:val="none"/>
        </w:rPr>
        <w:t>采购单位对磋商过程和重要磋商内容进行记录，磋商双方在磋商结果上签字确认。</w:t>
      </w:r>
    </w:p>
    <w:p>
      <w:pPr>
        <w:snapToGrid w:val="0"/>
        <w:spacing w:line="600" w:lineRule="exact"/>
        <w:ind w:firstLine="560" w:firstLineChars="200"/>
        <w:outlineLvl w:val="1"/>
        <w:rPr>
          <w:color w:val="auto"/>
          <w:highlight w:val="none"/>
        </w:rPr>
      </w:pPr>
      <w:bookmarkStart w:id="19" w:name="_Toc1440"/>
      <w:r>
        <w:rPr>
          <w:rFonts w:hint="eastAsia" w:eastAsia="黑体"/>
          <w:bCs/>
          <w:color w:val="auto"/>
          <w:sz w:val="28"/>
          <w:szCs w:val="28"/>
          <w:highlight w:val="none"/>
        </w:rPr>
        <w:t>六、确定成交</w:t>
      </w:r>
      <w:r>
        <w:rPr>
          <w:rFonts w:eastAsia="黑体"/>
          <w:bCs/>
          <w:color w:val="auto"/>
          <w:sz w:val="28"/>
          <w:szCs w:val="28"/>
          <w:highlight w:val="none"/>
        </w:rPr>
        <w:t>磋商供应商</w:t>
      </w:r>
      <w:r>
        <w:rPr>
          <w:rFonts w:hint="eastAsia" w:eastAsia="黑体"/>
          <w:bCs/>
          <w:color w:val="auto"/>
          <w:sz w:val="28"/>
          <w:szCs w:val="28"/>
          <w:highlight w:val="none"/>
        </w:rPr>
        <w:t>办法</w:t>
      </w:r>
      <w:bookmarkEnd w:id="19"/>
    </w:p>
    <w:p>
      <w:pPr>
        <w:snapToGrid w:val="0"/>
        <w:spacing w:line="600" w:lineRule="exact"/>
        <w:ind w:firstLine="560" w:firstLineChars="200"/>
        <w:rPr>
          <w:color w:val="auto"/>
          <w:highlight w:val="none"/>
        </w:rPr>
      </w:pPr>
      <w:r>
        <w:rPr>
          <w:rFonts w:eastAsia="仿宋_GB2312"/>
          <w:color w:val="auto"/>
          <w:sz w:val="28"/>
          <w:szCs w:val="28"/>
          <w:highlight w:val="none"/>
        </w:rPr>
        <w:t>6.1</w:t>
      </w:r>
      <w:r>
        <w:rPr>
          <w:rFonts w:hint="eastAsia" w:eastAsia="仿宋_GB2312"/>
          <w:color w:val="auto"/>
          <w:sz w:val="28"/>
          <w:szCs w:val="28"/>
          <w:highlight w:val="none"/>
        </w:rPr>
        <w:t>采购单位磋商小组根据符合论坛执行项目综合评分法确定成交</w:t>
      </w:r>
      <w:r>
        <w:rPr>
          <w:rFonts w:eastAsia="仿宋_GB2312"/>
          <w:color w:val="auto"/>
          <w:sz w:val="28"/>
          <w:szCs w:val="28"/>
          <w:highlight w:val="none"/>
        </w:rPr>
        <w:t>磋商供应商</w:t>
      </w:r>
      <w:r>
        <w:rPr>
          <w:rFonts w:hint="eastAsia" w:eastAsia="仿宋_GB2312"/>
          <w:color w:val="auto"/>
          <w:sz w:val="28"/>
          <w:szCs w:val="28"/>
          <w:highlight w:val="none"/>
        </w:rPr>
        <w:t>，并将评标结果按采购单位的审批流程报批。</w:t>
      </w:r>
    </w:p>
    <w:p>
      <w:pPr>
        <w:snapToGrid w:val="0"/>
        <w:spacing w:line="600" w:lineRule="exact"/>
        <w:ind w:firstLine="560" w:firstLineChars="200"/>
        <w:rPr>
          <w:color w:val="auto"/>
          <w:highlight w:val="none"/>
        </w:rPr>
      </w:pPr>
      <w:r>
        <w:rPr>
          <w:rFonts w:eastAsia="仿宋_GB2312"/>
          <w:color w:val="auto"/>
          <w:sz w:val="28"/>
          <w:szCs w:val="28"/>
          <w:highlight w:val="none"/>
        </w:rPr>
        <w:t>6.2</w:t>
      </w:r>
      <w:r>
        <w:rPr>
          <w:rFonts w:hint="eastAsia" w:eastAsia="仿宋_GB2312"/>
          <w:color w:val="auto"/>
          <w:sz w:val="28"/>
          <w:szCs w:val="28"/>
          <w:highlight w:val="none"/>
        </w:rPr>
        <w:t>采购单位在评标结果批复后向参与磋商的</w:t>
      </w:r>
      <w:r>
        <w:rPr>
          <w:rFonts w:eastAsia="仿宋_GB2312"/>
          <w:color w:val="auto"/>
          <w:sz w:val="28"/>
          <w:szCs w:val="28"/>
          <w:highlight w:val="none"/>
        </w:rPr>
        <w:t>磋商供应商</w:t>
      </w:r>
      <w:r>
        <w:rPr>
          <w:rFonts w:hint="eastAsia" w:eastAsia="仿宋_GB2312"/>
          <w:color w:val="auto"/>
          <w:sz w:val="28"/>
          <w:szCs w:val="28"/>
          <w:highlight w:val="none"/>
        </w:rPr>
        <w:t>发送评标结果告知函。</w:t>
      </w:r>
    </w:p>
    <w:p>
      <w:pPr>
        <w:snapToGrid w:val="0"/>
        <w:spacing w:line="600" w:lineRule="exact"/>
        <w:ind w:firstLine="560" w:firstLineChars="200"/>
        <w:outlineLvl w:val="1"/>
        <w:rPr>
          <w:color w:val="auto"/>
          <w:highlight w:val="none"/>
        </w:rPr>
      </w:pPr>
      <w:bookmarkStart w:id="20" w:name="_Toc20377"/>
      <w:r>
        <w:rPr>
          <w:rFonts w:hint="eastAsia" w:eastAsia="黑体"/>
          <w:bCs/>
          <w:color w:val="auto"/>
          <w:sz w:val="28"/>
          <w:szCs w:val="28"/>
          <w:highlight w:val="none"/>
        </w:rPr>
        <w:t>七、签订合同</w:t>
      </w:r>
      <w:bookmarkEnd w:id="20"/>
    </w:p>
    <w:p>
      <w:pPr>
        <w:snapToGrid w:val="0"/>
        <w:spacing w:line="600" w:lineRule="exact"/>
        <w:ind w:firstLine="562" w:firstLineChars="200"/>
        <w:rPr>
          <w:rFonts w:hint="eastAsia" w:ascii="仿宋_GB2312" w:hAnsi="仿宋_GB2312" w:eastAsia="仿宋_GB2312" w:cs="仿宋_GB2312"/>
          <w:b/>
          <w:bCs/>
          <w:caps/>
          <w:color w:val="auto"/>
          <w:sz w:val="28"/>
          <w:szCs w:val="28"/>
          <w:highlight w:val="none"/>
        </w:rPr>
      </w:pPr>
      <w:r>
        <w:rPr>
          <w:rFonts w:ascii="仿宋_GB2312" w:hAnsi="仿宋_GB2312" w:eastAsia="仿宋_GB2312" w:cs="仿宋_GB2312"/>
          <w:b/>
          <w:bCs/>
          <w:caps/>
          <w:color w:val="auto"/>
          <w:sz w:val="28"/>
          <w:szCs w:val="28"/>
          <w:highlight w:val="none"/>
        </w:rPr>
        <w:t>7</w:t>
      </w:r>
      <w:r>
        <w:rPr>
          <w:rFonts w:hint="eastAsia" w:ascii="仿宋_GB2312" w:hAnsi="仿宋_GB2312" w:eastAsia="仿宋_GB2312" w:cs="仿宋_GB2312"/>
          <w:b/>
          <w:bCs/>
          <w:caps/>
          <w:color w:val="auto"/>
          <w:sz w:val="28"/>
          <w:szCs w:val="28"/>
          <w:highlight w:val="none"/>
        </w:rPr>
        <w:t>.</w:t>
      </w:r>
      <w:r>
        <w:rPr>
          <w:rFonts w:ascii="仿宋_GB2312" w:hAnsi="仿宋_GB2312" w:eastAsia="仿宋_GB2312" w:cs="仿宋_GB2312"/>
          <w:b/>
          <w:bCs/>
          <w:caps/>
          <w:color w:val="auto"/>
          <w:sz w:val="28"/>
          <w:szCs w:val="28"/>
          <w:highlight w:val="none"/>
        </w:rPr>
        <w:t>1</w:t>
      </w:r>
      <w:r>
        <w:rPr>
          <w:rFonts w:hint="eastAsia" w:ascii="仿宋_GB2312" w:hAnsi="仿宋_GB2312" w:eastAsia="仿宋_GB2312" w:cs="仿宋_GB2312"/>
          <w:b/>
          <w:bCs/>
          <w:caps/>
          <w:color w:val="auto"/>
          <w:sz w:val="28"/>
          <w:szCs w:val="28"/>
          <w:highlight w:val="none"/>
        </w:rPr>
        <w:t>成交通知</w:t>
      </w:r>
    </w:p>
    <w:p>
      <w:pPr>
        <w:snapToGrid w:val="0"/>
        <w:spacing w:line="600" w:lineRule="exact"/>
        <w:ind w:firstLine="560" w:firstLineChars="200"/>
        <w:rPr>
          <w:rFonts w:eastAsia="仿宋_GB2312"/>
          <w:color w:val="auto"/>
          <w:sz w:val="28"/>
          <w:szCs w:val="28"/>
          <w:highlight w:val="none"/>
        </w:rPr>
      </w:pPr>
      <w:r>
        <w:rPr>
          <w:rFonts w:eastAsia="仿宋_GB2312"/>
          <w:color w:val="auto"/>
          <w:sz w:val="28"/>
          <w:szCs w:val="28"/>
          <w:highlight w:val="none"/>
        </w:rPr>
        <w:t>7.1.1采购单位在三个工作日内将竞标结果报告中推荐的排名第一的成交候选供应商确定为成交供应商。</w:t>
      </w:r>
    </w:p>
    <w:p>
      <w:pPr>
        <w:snapToGrid w:val="0"/>
        <w:spacing w:line="600" w:lineRule="exact"/>
        <w:ind w:firstLine="560" w:firstLineChars="200"/>
        <w:rPr>
          <w:rFonts w:eastAsia="仿宋_GB2312"/>
          <w:color w:val="auto"/>
          <w:sz w:val="28"/>
          <w:szCs w:val="28"/>
          <w:highlight w:val="none"/>
        </w:rPr>
      </w:pPr>
      <w:r>
        <w:rPr>
          <w:rFonts w:eastAsia="仿宋_GB2312"/>
          <w:color w:val="auto"/>
          <w:sz w:val="28"/>
          <w:szCs w:val="28"/>
          <w:highlight w:val="none"/>
        </w:rPr>
        <w:t>7.1.2采购单位在网页上发布成交公告。</w:t>
      </w:r>
    </w:p>
    <w:p>
      <w:pPr>
        <w:snapToGrid w:val="0"/>
        <w:spacing w:line="600" w:lineRule="exact"/>
        <w:ind w:firstLine="560" w:firstLineChars="200"/>
        <w:rPr>
          <w:rFonts w:eastAsia="仿宋_GB2312"/>
          <w:color w:val="auto"/>
          <w:sz w:val="28"/>
          <w:szCs w:val="28"/>
          <w:highlight w:val="none"/>
        </w:rPr>
      </w:pPr>
      <w:r>
        <w:rPr>
          <w:rFonts w:eastAsia="仿宋_GB2312"/>
          <w:color w:val="auto"/>
          <w:sz w:val="28"/>
          <w:szCs w:val="28"/>
          <w:highlight w:val="none"/>
        </w:rPr>
        <w:t>7.1.3采购单位无义务向未成交的供应商解释未成交原因和退还响应文件。</w:t>
      </w:r>
    </w:p>
    <w:p>
      <w:pPr>
        <w:pStyle w:val="15"/>
        <w:snapToGrid w:val="0"/>
        <w:spacing w:line="600" w:lineRule="exact"/>
        <w:ind w:firstLine="420"/>
        <w:rPr>
          <w:color w:val="auto"/>
          <w:sz w:val="28"/>
          <w:szCs w:val="28"/>
          <w:highlight w:val="none"/>
        </w:rPr>
      </w:pPr>
      <w:r>
        <w:rPr>
          <w:rFonts w:ascii="仿宋_GB2312" w:hAnsi="仿宋_GB2312" w:eastAsia="仿宋_GB2312" w:cs="仿宋_GB2312"/>
          <w:b/>
          <w:bCs/>
          <w:caps/>
          <w:color w:val="auto"/>
          <w:sz w:val="28"/>
          <w:szCs w:val="28"/>
          <w:highlight w:val="none"/>
        </w:rPr>
        <w:t>7.2合同授予标准</w:t>
      </w:r>
    </w:p>
    <w:p>
      <w:pPr>
        <w:snapToGrid w:val="0"/>
        <w:spacing w:line="600" w:lineRule="exact"/>
        <w:ind w:firstLine="560" w:firstLineChars="200"/>
        <w:rPr>
          <w:rFonts w:eastAsia="仿宋_GB2312"/>
          <w:color w:val="auto"/>
          <w:sz w:val="28"/>
          <w:szCs w:val="28"/>
          <w:highlight w:val="none"/>
        </w:rPr>
      </w:pPr>
      <w:r>
        <w:rPr>
          <w:rFonts w:eastAsia="仿宋_GB2312"/>
          <w:color w:val="auto"/>
          <w:sz w:val="28"/>
          <w:szCs w:val="28"/>
          <w:highlight w:val="none"/>
        </w:rPr>
        <w:t>合同将授予被确定为实质上响应</w:t>
      </w:r>
      <w:r>
        <w:rPr>
          <w:rFonts w:hint="eastAsia" w:eastAsia="仿宋_GB2312"/>
          <w:color w:val="auto"/>
          <w:sz w:val="28"/>
          <w:szCs w:val="28"/>
          <w:highlight w:val="none"/>
        </w:rPr>
        <w:t>采购方</w:t>
      </w:r>
      <w:r>
        <w:rPr>
          <w:rFonts w:eastAsia="仿宋_GB2312"/>
          <w:color w:val="auto"/>
          <w:sz w:val="28"/>
          <w:szCs w:val="28"/>
          <w:highlight w:val="none"/>
        </w:rPr>
        <w:t>需求，具备履行合同能力，成交结果报告中推荐的排名第一的成交候选供应商。</w:t>
      </w:r>
    </w:p>
    <w:p>
      <w:pPr>
        <w:pStyle w:val="15"/>
        <w:snapToGrid w:val="0"/>
        <w:spacing w:line="600" w:lineRule="exact"/>
        <w:ind w:firstLine="420"/>
        <w:rPr>
          <w:rFonts w:ascii="仿宋_GB2312" w:hAnsi="仿宋_GB2312" w:eastAsia="仿宋_GB2312" w:cs="仿宋_GB2312"/>
          <w:b/>
          <w:bCs/>
          <w:caps/>
          <w:color w:val="auto"/>
          <w:sz w:val="28"/>
          <w:szCs w:val="28"/>
          <w:highlight w:val="none"/>
        </w:rPr>
      </w:pPr>
      <w:r>
        <w:rPr>
          <w:rFonts w:ascii="仿宋_GB2312" w:hAnsi="仿宋_GB2312" w:eastAsia="仿宋_GB2312" w:cs="仿宋_GB2312"/>
          <w:b/>
          <w:bCs/>
          <w:caps/>
          <w:color w:val="auto"/>
          <w:sz w:val="28"/>
          <w:szCs w:val="28"/>
          <w:highlight w:val="none"/>
        </w:rPr>
        <w:t>7.3签订合同</w:t>
      </w:r>
    </w:p>
    <w:p>
      <w:pPr>
        <w:snapToGrid w:val="0"/>
        <w:spacing w:line="600" w:lineRule="exact"/>
        <w:ind w:firstLine="560" w:firstLineChars="200"/>
        <w:rPr>
          <w:rFonts w:eastAsia="仿宋_GB2312"/>
          <w:color w:val="auto"/>
          <w:sz w:val="28"/>
          <w:szCs w:val="28"/>
          <w:highlight w:val="none"/>
        </w:rPr>
      </w:pPr>
      <w:r>
        <w:rPr>
          <w:rFonts w:eastAsia="仿宋_GB2312"/>
          <w:color w:val="auto"/>
          <w:sz w:val="28"/>
          <w:szCs w:val="28"/>
          <w:highlight w:val="none"/>
        </w:rPr>
        <w:t>7.3.1成交供应商应及时与</w:t>
      </w:r>
      <w:r>
        <w:rPr>
          <w:rFonts w:hint="eastAsia" w:eastAsia="仿宋_GB2312"/>
          <w:color w:val="auto"/>
          <w:sz w:val="28"/>
          <w:szCs w:val="28"/>
          <w:highlight w:val="none"/>
        </w:rPr>
        <w:t>采购方</w:t>
      </w:r>
      <w:r>
        <w:rPr>
          <w:rFonts w:eastAsia="仿宋_GB2312"/>
          <w:color w:val="auto"/>
          <w:sz w:val="28"/>
          <w:szCs w:val="28"/>
          <w:highlight w:val="none"/>
        </w:rPr>
        <w:t>签订合同。</w:t>
      </w:r>
    </w:p>
    <w:p>
      <w:pPr>
        <w:snapToGrid w:val="0"/>
        <w:spacing w:line="600" w:lineRule="exact"/>
        <w:ind w:firstLine="560" w:firstLineChars="200"/>
        <w:rPr>
          <w:rFonts w:hint="eastAsia" w:eastAsia="仿宋_GB2312"/>
          <w:color w:val="auto"/>
          <w:sz w:val="28"/>
          <w:szCs w:val="28"/>
          <w:highlight w:val="none"/>
        </w:rPr>
      </w:pPr>
      <w:r>
        <w:rPr>
          <w:rFonts w:eastAsia="仿宋_GB2312"/>
          <w:color w:val="auto"/>
          <w:sz w:val="28"/>
          <w:szCs w:val="28"/>
          <w:highlight w:val="none"/>
        </w:rPr>
        <w:t>7.3.2成交供应商因不可抗力或者自身原因不能履行合同的，</w:t>
      </w:r>
      <w:r>
        <w:rPr>
          <w:rFonts w:hint="eastAsia" w:eastAsia="仿宋_GB2312"/>
          <w:color w:val="auto"/>
          <w:sz w:val="28"/>
          <w:szCs w:val="28"/>
          <w:highlight w:val="none"/>
        </w:rPr>
        <w:t>采购方</w:t>
      </w:r>
      <w:r>
        <w:rPr>
          <w:rFonts w:eastAsia="仿宋_GB2312"/>
          <w:color w:val="auto"/>
          <w:sz w:val="28"/>
          <w:szCs w:val="28"/>
          <w:highlight w:val="none"/>
        </w:rPr>
        <w:t>可</w:t>
      </w:r>
      <w:r>
        <w:rPr>
          <w:rFonts w:hint="eastAsia" w:eastAsia="仿宋_GB2312"/>
          <w:color w:val="auto"/>
          <w:sz w:val="28"/>
          <w:szCs w:val="28"/>
          <w:highlight w:val="none"/>
        </w:rPr>
        <w:t>以与排名第二的成交候选供应商签订合同，以此类推。</w:t>
      </w:r>
    </w:p>
    <w:p>
      <w:pPr>
        <w:pStyle w:val="34"/>
        <w:snapToGrid w:val="0"/>
        <w:spacing w:line="600" w:lineRule="exact"/>
        <w:rPr>
          <w:color w:val="auto"/>
          <w:highlight w:val="none"/>
        </w:rPr>
        <w:sectPr>
          <w:footerReference r:id="rId11" w:type="default"/>
          <w:pgSz w:w="11906" w:h="16838"/>
          <w:pgMar w:top="1418" w:right="1418" w:bottom="1418" w:left="1418" w:header="851" w:footer="992" w:gutter="0"/>
          <w:pgNumType w:fmt="decimal" w:start="1"/>
          <w:cols w:space="720" w:num="1"/>
          <w:docGrid w:type="lines" w:linePitch="312" w:charSpace="0"/>
        </w:sectPr>
      </w:pPr>
    </w:p>
    <w:p>
      <w:pPr>
        <w:widowControl/>
        <w:ind w:firstLine="2530" w:firstLineChars="900"/>
        <w:rPr>
          <w:rFonts w:hint="eastAsia" w:ascii="仿宋_GB2312" w:hAnsi="仿宋_GB2312" w:eastAsia="仿宋_GB2312" w:cs="仿宋_GB2312"/>
          <w:b/>
          <w:color w:val="auto"/>
          <w:kern w:val="0"/>
          <w:sz w:val="28"/>
          <w:szCs w:val="28"/>
          <w:highlight w:val="none"/>
          <w:lang w:bidi="ar"/>
        </w:rPr>
      </w:pPr>
      <w:r>
        <w:rPr>
          <w:rFonts w:hint="eastAsia" w:ascii="仿宋_GB2312" w:hAnsi="仿宋_GB2312" w:eastAsia="仿宋_GB2312" w:cs="仿宋_GB2312"/>
          <w:b/>
          <w:color w:val="auto"/>
          <w:kern w:val="0"/>
          <w:sz w:val="28"/>
          <w:szCs w:val="28"/>
          <w:highlight w:val="none"/>
          <w:lang w:bidi="ar"/>
        </w:rPr>
        <w:t>采购项目合同验收书（格式）</w:t>
      </w:r>
    </w:p>
    <w:p>
      <w:pPr>
        <w:pStyle w:val="34"/>
        <w:rPr>
          <w:rFonts w:hint="eastAsia"/>
          <w:color w:val="auto"/>
          <w:highlight w:val="none"/>
        </w:rPr>
      </w:pPr>
    </w:p>
    <w:p>
      <w:pPr>
        <w:widowControl/>
        <w:rPr>
          <w:rFonts w:hint="eastAsia" w:ascii="仿宋_GB2312" w:hAnsi="仿宋_GB2312" w:eastAsia="仿宋_GB2312" w:cs="仿宋_GB2312"/>
          <w:color w:val="auto"/>
          <w:kern w:val="0"/>
          <w:sz w:val="24"/>
          <w:highlight w:val="none"/>
        </w:rPr>
      </w:pPr>
      <w:r>
        <w:rPr>
          <w:rFonts w:ascii="仿宋_GB2312" w:hAnsi="仿宋_GB2312" w:eastAsia="仿宋_GB2312" w:cs="仿宋_GB2312"/>
          <w:b/>
          <w:color w:val="auto"/>
          <w:kern w:val="0"/>
          <w:sz w:val="28"/>
          <w:szCs w:val="28"/>
          <w:highlight w:val="none"/>
          <w:lang w:bidi="ar"/>
        </w:rPr>
        <w:t xml:space="preserve">    </w:t>
      </w:r>
      <w:r>
        <w:rPr>
          <w:rFonts w:hint="eastAsia" w:ascii="仿宋_GB2312" w:hAnsi="仿宋_GB2312" w:eastAsia="仿宋_GB2312" w:cs="仿宋_GB2312"/>
          <w:color w:val="auto"/>
          <w:kern w:val="0"/>
          <w:sz w:val="24"/>
          <w:highlight w:val="none"/>
          <w:lang w:bidi="ar"/>
        </w:rPr>
        <w:t>根据采购项目（</w:t>
      </w:r>
      <w:r>
        <w:rPr>
          <w:rFonts w:hint="eastAsia" w:ascii="仿宋_GB2312" w:hAnsi="仿宋_GB2312" w:eastAsia="仿宋_GB2312" w:cs="仿宋_GB2312"/>
          <w:color w:val="auto"/>
          <w:kern w:val="0"/>
          <w:sz w:val="24"/>
          <w:highlight w:val="none"/>
          <w:u w:val="single"/>
          <w:lang w:bidi="ar"/>
        </w:rPr>
        <w:t>采购合同编号：</w:t>
      </w:r>
      <w:r>
        <w:rPr>
          <w:rFonts w:hint="eastAsia" w:ascii="仿宋_GB2312" w:hAnsi="仿宋_GB2312" w:eastAsia="仿宋_GB2312" w:cs="仿宋_GB2312"/>
          <w:color w:val="auto"/>
          <w:kern w:val="0"/>
          <w:sz w:val="24"/>
          <w:highlight w:val="none"/>
          <w:u w:val="single"/>
          <w:lang w:bidi="ar"/>
        </w:rPr>
        <w:softHyphen/>
      </w:r>
      <w:r>
        <w:rPr>
          <w:rFonts w:hint="eastAsia" w:ascii="仿宋_GB2312" w:hAnsi="仿宋_GB2312" w:eastAsia="仿宋_GB2312" w:cs="仿宋_GB2312"/>
          <w:color w:val="auto"/>
          <w:kern w:val="0"/>
          <w:sz w:val="24"/>
          <w:highlight w:val="none"/>
          <w:u w:val="single"/>
          <w:lang w:bidi="ar"/>
        </w:rPr>
        <w:t xml:space="preserve">    </w:t>
      </w:r>
      <w:r>
        <w:rPr>
          <w:rFonts w:hint="eastAsia" w:ascii="仿宋_GB2312" w:hAnsi="仿宋_GB2312" w:eastAsia="仿宋_GB2312" w:cs="仿宋_GB2312"/>
          <w:color w:val="auto"/>
          <w:kern w:val="0"/>
          <w:sz w:val="24"/>
          <w:highlight w:val="none"/>
          <w:lang w:bidi="ar"/>
        </w:rPr>
        <w:t>）的约定，我单位对（</w:t>
      </w:r>
      <w:r>
        <w:rPr>
          <w:rFonts w:hint="eastAsia" w:ascii="仿宋_GB2312" w:hAnsi="仿宋_GB2312" w:eastAsia="仿宋_GB2312" w:cs="仿宋_GB2312"/>
          <w:color w:val="auto"/>
          <w:kern w:val="0"/>
          <w:sz w:val="24"/>
          <w:highlight w:val="none"/>
          <w:u w:val="single"/>
          <w:lang w:bidi="ar"/>
        </w:rPr>
        <w:t xml:space="preserve">  项目名称   </w:t>
      </w:r>
      <w:r>
        <w:rPr>
          <w:rFonts w:hint="eastAsia" w:ascii="仿宋_GB2312" w:hAnsi="仿宋_GB2312" w:eastAsia="仿宋_GB2312" w:cs="仿宋_GB2312"/>
          <w:color w:val="auto"/>
          <w:kern w:val="0"/>
          <w:sz w:val="24"/>
          <w:highlight w:val="none"/>
          <w:lang w:bidi="ar"/>
        </w:rPr>
        <w:t>）采购项目中标（或成交）供应商（</w:t>
      </w:r>
      <w:r>
        <w:rPr>
          <w:rFonts w:hint="eastAsia" w:ascii="仿宋_GB2312" w:hAnsi="仿宋_GB2312" w:eastAsia="仿宋_GB2312" w:cs="仿宋_GB2312"/>
          <w:color w:val="auto"/>
          <w:kern w:val="0"/>
          <w:sz w:val="24"/>
          <w:highlight w:val="none"/>
          <w:u w:val="single"/>
          <w:lang w:bidi="ar"/>
        </w:rPr>
        <w:t xml:space="preserve">            公司名称              </w:t>
      </w:r>
      <w:r>
        <w:rPr>
          <w:rFonts w:hint="eastAsia" w:ascii="仿宋_GB2312" w:hAnsi="仿宋_GB2312" w:eastAsia="仿宋_GB2312" w:cs="仿宋_GB2312"/>
          <w:color w:val="auto"/>
          <w:kern w:val="0"/>
          <w:sz w:val="24"/>
          <w:highlight w:val="none"/>
          <w:lang w:bidi="ar"/>
        </w:rPr>
        <w:t>）提供的货物（或项目、服务）进行了验收，验收情况如下：</w:t>
      </w:r>
    </w:p>
    <w:tbl>
      <w:tblPr>
        <w:tblStyle w:val="17"/>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248"/>
        <w:gridCol w:w="2302"/>
        <w:gridCol w:w="948"/>
        <w:gridCol w:w="2503"/>
        <w:gridCol w:w="205"/>
        <w:gridCol w:w="796"/>
        <w:gridCol w:w="107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97" w:hRule="atLeast"/>
          <w:jc w:val="center"/>
        </w:trPr>
        <w:tc>
          <w:tcPr>
            <w:tcW w:w="3550"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napToGrid w:val="0"/>
              <w:spacing w:before="100" w:beforeAutospacing="1" w:after="100" w:afterAutospacing="1" w:line="320" w:lineRule="exact"/>
              <w:ind w:left="-3" w:right="0" w:firstLine="4" w:firstLineChars="2"/>
              <w:jc w:val="center"/>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验收方式：</w:t>
            </w:r>
          </w:p>
        </w:tc>
        <w:tc>
          <w:tcPr>
            <w:tcW w:w="5523" w:type="dxa"/>
            <w:gridSpan w:val="5"/>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napToGrid w:val="0"/>
              <w:spacing w:before="100" w:beforeAutospacing="1" w:after="100" w:afterAutospacing="1" w:line="320" w:lineRule="exact"/>
              <w:ind w:left="-3" w:right="0" w:firstLine="480" w:firstLineChars="200"/>
              <w:jc w:val="center"/>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□自行验收         □委托验收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22" w:hRule="atLeast"/>
          <w:jc w:val="center"/>
        </w:trPr>
        <w:tc>
          <w:tcPr>
            <w:tcW w:w="1248"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napToGrid w:val="0"/>
              <w:spacing w:before="100" w:beforeAutospacing="1" w:after="100" w:afterAutospacing="1" w:line="320" w:lineRule="exact"/>
              <w:ind w:left="0" w:right="0" w:firstLine="2" w:firstLineChars="1"/>
              <w:jc w:val="center"/>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序号</w:t>
            </w:r>
          </w:p>
        </w:tc>
        <w:tc>
          <w:tcPr>
            <w:tcW w:w="2302" w:type="dxa"/>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napToGrid w:val="0"/>
              <w:spacing w:before="100" w:beforeAutospacing="1" w:after="100" w:afterAutospacing="1" w:line="320" w:lineRule="exact"/>
              <w:ind w:left="-3" w:right="0" w:firstLine="2" w:firstLineChars="1"/>
              <w:jc w:val="center"/>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名  称</w:t>
            </w:r>
          </w:p>
        </w:tc>
        <w:tc>
          <w:tcPr>
            <w:tcW w:w="3451" w:type="dxa"/>
            <w:gridSpan w:val="2"/>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napToGrid w:val="0"/>
              <w:spacing w:before="100" w:beforeAutospacing="1" w:after="100" w:afterAutospacing="1" w:line="320" w:lineRule="exact"/>
              <w:ind w:left="-3" w:right="0" w:firstLine="2" w:firstLineChars="1"/>
              <w:jc w:val="center"/>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货物型号规格、标准及配置等</w:t>
            </w:r>
          </w:p>
          <w:p>
            <w:pPr>
              <w:keepNext w:val="0"/>
              <w:keepLines w:val="0"/>
              <w:widowControl/>
              <w:suppressLineNumbers w:val="0"/>
              <w:snapToGrid w:val="0"/>
              <w:spacing w:before="100" w:beforeAutospacing="1" w:after="100" w:afterAutospacing="1" w:line="320" w:lineRule="exact"/>
              <w:ind w:left="-3" w:right="0" w:firstLine="2" w:firstLineChars="1"/>
              <w:jc w:val="center"/>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（或服务内容、标准）</w:t>
            </w:r>
          </w:p>
        </w:tc>
        <w:tc>
          <w:tcPr>
            <w:tcW w:w="1001" w:type="dxa"/>
            <w:gridSpan w:val="2"/>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napToGrid w:val="0"/>
              <w:spacing w:before="100" w:beforeAutospacing="1" w:after="100" w:afterAutospacing="1" w:line="320" w:lineRule="exact"/>
              <w:ind w:left="0" w:right="0"/>
              <w:jc w:val="center"/>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数量</w:t>
            </w:r>
          </w:p>
        </w:tc>
        <w:tc>
          <w:tcPr>
            <w:tcW w:w="1071" w:type="dxa"/>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napToGrid w:val="0"/>
              <w:spacing w:before="100" w:beforeAutospacing="1" w:after="100" w:afterAutospacing="1" w:line="320" w:lineRule="exact"/>
              <w:ind w:left="-3" w:right="0" w:firstLine="2" w:firstLineChars="1"/>
              <w:jc w:val="center"/>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金  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248"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napToGrid w:val="0"/>
              <w:spacing w:before="100" w:beforeAutospacing="1" w:after="100" w:afterAutospacing="1" w:line="320" w:lineRule="exact"/>
              <w:ind w:left="-3" w:right="0" w:firstLine="4" w:firstLineChars="2"/>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 </w:t>
            </w:r>
          </w:p>
        </w:tc>
        <w:tc>
          <w:tcPr>
            <w:tcW w:w="2302" w:type="dxa"/>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napToGrid w:val="0"/>
              <w:spacing w:before="100" w:beforeAutospacing="1" w:after="100" w:afterAutospacing="1" w:line="320" w:lineRule="exact"/>
              <w:ind w:left="-3" w:right="0"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 </w:t>
            </w:r>
          </w:p>
        </w:tc>
        <w:tc>
          <w:tcPr>
            <w:tcW w:w="3451" w:type="dxa"/>
            <w:gridSpan w:val="2"/>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napToGrid w:val="0"/>
              <w:spacing w:before="100" w:beforeAutospacing="1" w:after="100" w:afterAutospacing="1" w:line="320" w:lineRule="exact"/>
              <w:ind w:left="-3" w:right="0"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 </w:t>
            </w:r>
          </w:p>
        </w:tc>
        <w:tc>
          <w:tcPr>
            <w:tcW w:w="1001" w:type="dxa"/>
            <w:gridSpan w:val="2"/>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napToGrid w:val="0"/>
              <w:spacing w:before="100" w:beforeAutospacing="1" w:after="100" w:afterAutospacing="1" w:line="320" w:lineRule="exact"/>
              <w:ind w:left="0" w:right="0"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 </w:t>
            </w:r>
          </w:p>
        </w:tc>
        <w:tc>
          <w:tcPr>
            <w:tcW w:w="1071" w:type="dxa"/>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napToGrid w:val="0"/>
              <w:spacing w:before="100" w:beforeAutospacing="1" w:after="100" w:afterAutospacing="1" w:line="320" w:lineRule="exact"/>
              <w:ind w:left="0" w:right="0"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248"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napToGrid w:val="0"/>
              <w:spacing w:before="100" w:beforeAutospacing="1" w:after="100" w:afterAutospacing="1" w:line="320" w:lineRule="exact"/>
              <w:ind w:left="-3" w:right="0"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 </w:t>
            </w:r>
          </w:p>
        </w:tc>
        <w:tc>
          <w:tcPr>
            <w:tcW w:w="2302" w:type="dxa"/>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napToGrid w:val="0"/>
              <w:spacing w:before="100" w:beforeAutospacing="1" w:after="100" w:afterAutospacing="1" w:line="320" w:lineRule="exact"/>
              <w:ind w:left="-3" w:right="0"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 </w:t>
            </w:r>
          </w:p>
        </w:tc>
        <w:tc>
          <w:tcPr>
            <w:tcW w:w="3451" w:type="dxa"/>
            <w:gridSpan w:val="2"/>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napToGrid w:val="0"/>
              <w:spacing w:before="100" w:beforeAutospacing="1" w:after="100" w:afterAutospacing="1" w:line="320" w:lineRule="exact"/>
              <w:ind w:left="-3" w:right="0"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 </w:t>
            </w:r>
          </w:p>
        </w:tc>
        <w:tc>
          <w:tcPr>
            <w:tcW w:w="1001" w:type="dxa"/>
            <w:gridSpan w:val="2"/>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napToGrid w:val="0"/>
              <w:spacing w:before="100" w:beforeAutospacing="1" w:after="100" w:afterAutospacing="1" w:line="320" w:lineRule="exact"/>
              <w:ind w:left="0" w:right="0"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 </w:t>
            </w:r>
          </w:p>
        </w:tc>
        <w:tc>
          <w:tcPr>
            <w:tcW w:w="1071" w:type="dxa"/>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napToGrid w:val="0"/>
              <w:spacing w:before="100" w:beforeAutospacing="1" w:after="100" w:afterAutospacing="1" w:line="320" w:lineRule="exact"/>
              <w:ind w:left="0" w:right="0"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248"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napToGrid w:val="0"/>
              <w:spacing w:before="100" w:beforeAutospacing="1" w:after="100" w:afterAutospacing="1" w:line="320" w:lineRule="exact"/>
              <w:ind w:left="-3" w:right="0"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 </w:t>
            </w:r>
          </w:p>
        </w:tc>
        <w:tc>
          <w:tcPr>
            <w:tcW w:w="2302" w:type="dxa"/>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napToGrid w:val="0"/>
              <w:spacing w:before="100" w:beforeAutospacing="1" w:after="100" w:afterAutospacing="1" w:line="320" w:lineRule="exact"/>
              <w:ind w:left="-3" w:right="0"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 </w:t>
            </w:r>
          </w:p>
        </w:tc>
        <w:tc>
          <w:tcPr>
            <w:tcW w:w="3451" w:type="dxa"/>
            <w:gridSpan w:val="2"/>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napToGrid w:val="0"/>
              <w:spacing w:before="100" w:beforeAutospacing="1" w:after="100" w:afterAutospacing="1" w:line="320" w:lineRule="exact"/>
              <w:ind w:left="-3" w:right="0"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 </w:t>
            </w:r>
          </w:p>
        </w:tc>
        <w:tc>
          <w:tcPr>
            <w:tcW w:w="1001" w:type="dxa"/>
            <w:gridSpan w:val="2"/>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napToGrid w:val="0"/>
              <w:spacing w:before="100" w:beforeAutospacing="1" w:after="100" w:afterAutospacing="1" w:line="320" w:lineRule="exact"/>
              <w:ind w:left="0" w:right="0"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 </w:t>
            </w:r>
          </w:p>
        </w:tc>
        <w:tc>
          <w:tcPr>
            <w:tcW w:w="1071" w:type="dxa"/>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napToGrid w:val="0"/>
              <w:spacing w:before="100" w:beforeAutospacing="1" w:after="100" w:afterAutospacing="1" w:line="320" w:lineRule="exact"/>
              <w:ind w:left="0" w:right="0"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7001" w:type="dxa"/>
            <w:gridSpan w:val="4"/>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napToGrid w:val="0"/>
              <w:spacing w:before="100" w:beforeAutospacing="1" w:after="100" w:afterAutospacing="1" w:line="320" w:lineRule="exact"/>
              <w:ind w:left="-3" w:right="0" w:firstLine="4" w:firstLineChars="2"/>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合        计</w:t>
            </w:r>
          </w:p>
        </w:tc>
        <w:tc>
          <w:tcPr>
            <w:tcW w:w="1001" w:type="dxa"/>
            <w:gridSpan w:val="2"/>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napToGrid w:val="0"/>
              <w:spacing w:before="100" w:beforeAutospacing="1" w:after="100" w:afterAutospacing="1" w:line="320" w:lineRule="exact"/>
              <w:ind w:left="0" w:right="0"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 </w:t>
            </w:r>
          </w:p>
        </w:tc>
        <w:tc>
          <w:tcPr>
            <w:tcW w:w="1071" w:type="dxa"/>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napToGrid w:val="0"/>
              <w:spacing w:before="100" w:beforeAutospacing="1" w:after="100" w:afterAutospacing="1" w:line="320" w:lineRule="exact"/>
              <w:ind w:left="0" w:right="0"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9073" w:type="dxa"/>
            <w:gridSpan w:val="7"/>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napToGrid w:val="0"/>
              <w:spacing w:before="100" w:beforeAutospacing="1" w:after="100" w:afterAutospacing="1" w:line="320" w:lineRule="exact"/>
              <w:ind w:left="0" w:right="0" w:firstLine="2" w:firstLineChars="1"/>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合计大写金额：   仟    佰    拾    万    仟    佰    拾    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1248"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napToGrid w:val="0"/>
              <w:spacing w:before="100" w:beforeAutospacing="1" w:after="100" w:afterAutospacing="1" w:line="320" w:lineRule="exact"/>
              <w:ind w:left="0" w:right="0" w:firstLine="2" w:firstLineChars="1"/>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实际供货日期</w:t>
            </w:r>
          </w:p>
        </w:tc>
        <w:tc>
          <w:tcPr>
            <w:tcW w:w="3250" w:type="dxa"/>
            <w:gridSpan w:val="2"/>
            <w:tcBorders>
              <w:top w:val="single" w:color="auto" w:sz="8" w:space="0"/>
              <w:left w:val="nil"/>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20" w:lineRule="exact"/>
              <w:ind w:left="0" w:right="0" w:firstLine="480" w:firstLineChars="200"/>
              <w:jc w:val="left"/>
              <w:rPr>
                <w:rFonts w:hint="eastAsia" w:ascii="仿宋_GB2312" w:hAnsi="仿宋_GB2312" w:eastAsia="仿宋_GB2312" w:cs="仿宋_GB2312"/>
                <w:color w:val="auto"/>
                <w:kern w:val="0"/>
                <w:sz w:val="24"/>
                <w:highlight w:val="none"/>
              </w:rPr>
            </w:pPr>
          </w:p>
        </w:tc>
        <w:tc>
          <w:tcPr>
            <w:tcW w:w="2708" w:type="dxa"/>
            <w:gridSpan w:val="2"/>
            <w:tcBorders>
              <w:top w:val="single" w:color="auto" w:sz="8" w:space="0"/>
              <w:left w:val="nil"/>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20" w:lineRule="exact"/>
              <w:ind w:left="0" w:right="0" w:firstLine="45" w:firstLineChars="19"/>
              <w:jc w:val="center"/>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合同交货验收日期</w:t>
            </w:r>
          </w:p>
        </w:tc>
        <w:tc>
          <w:tcPr>
            <w:tcW w:w="1867" w:type="dxa"/>
            <w:gridSpan w:val="2"/>
            <w:tcBorders>
              <w:top w:val="single" w:color="auto" w:sz="8" w:space="0"/>
              <w:left w:val="nil"/>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20" w:lineRule="exact"/>
              <w:ind w:left="0" w:right="0" w:firstLine="480" w:firstLineChars="200"/>
              <w:jc w:val="left"/>
              <w:rPr>
                <w:rFonts w:hint="eastAsia" w:ascii="仿宋_GB2312" w:hAnsi="仿宋_GB2312" w:eastAsia="仿宋_GB2312" w:cs="仿宋_GB2312"/>
                <w:color w:val="auto"/>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4" w:hRule="atLeast"/>
          <w:jc w:val="center"/>
        </w:trPr>
        <w:tc>
          <w:tcPr>
            <w:tcW w:w="1248"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napToGrid w:val="0"/>
              <w:spacing w:before="100" w:beforeAutospacing="1" w:after="100" w:afterAutospacing="1" w:line="320" w:lineRule="exact"/>
              <w:ind w:left="0" w:right="0" w:firstLine="480" w:firstLineChars="200"/>
              <w:jc w:val="left"/>
              <w:rPr>
                <w:rFonts w:hint="eastAsia" w:ascii="仿宋_GB2312" w:hAnsi="仿宋_GB2312" w:eastAsia="仿宋_GB2312" w:cs="仿宋_GB2312"/>
                <w:color w:val="auto"/>
                <w:kern w:val="0"/>
                <w:sz w:val="24"/>
                <w:highlight w:val="none"/>
              </w:rPr>
            </w:pPr>
          </w:p>
        </w:tc>
        <w:tc>
          <w:tcPr>
            <w:tcW w:w="3250" w:type="dxa"/>
            <w:gridSpan w:val="2"/>
            <w:tcBorders>
              <w:top w:val="single" w:color="auto" w:sz="8" w:space="0"/>
              <w:left w:val="nil"/>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20" w:lineRule="exact"/>
              <w:ind w:left="0" w:right="0" w:firstLine="480" w:firstLineChars="200"/>
              <w:jc w:val="left"/>
              <w:rPr>
                <w:rFonts w:hint="eastAsia" w:ascii="仿宋_GB2312" w:hAnsi="仿宋_GB2312" w:eastAsia="仿宋_GB2312" w:cs="仿宋_GB2312"/>
                <w:color w:val="auto"/>
                <w:kern w:val="0"/>
                <w:sz w:val="24"/>
                <w:highlight w:val="none"/>
              </w:rPr>
            </w:pPr>
          </w:p>
        </w:tc>
        <w:tc>
          <w:tcPr>
            <w:tcW w:w="2708" w:type="dxa"/>
            <w:gridSpan w:val="2"/>
            <w:tcBorders>
              <w:top w:val="single" w:color="auto" w:sz="8" w:space="0"/>
              <w:left w:val="nil"/>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20" w:lineRule="exact"/>
              <w:ind w:left="590" w:right="0" w:firstLine="480" w:firstLineChars="200"/>
              <w:jc w:val="left"/>
              <w:rPr>
                <w:rFonts w:hint="eastAsia" w:ascii="仿宋_GB2312" w:hAnsi="仿宋_GB2312" w:eastAsia="仿宋_GB2312" w:cs="仿宋_GB2312"/>
                <w:color w:val="auto"/>
                <w:kern w:val="0"/>
                <w:sz w:val="24"/>
                <w:highlight w:val="none"/>
              </w:rPr>
            </w:pPr>
          </w:p>
        </w:tc>
        <w:tc>
          <w:tcPr>
            <w:tcW w:w="1867" w:type="dxa"/>
            <w:gridSpan w:val="2"/>
            <w:tcBorders>
              <w:top w:val="single" w:color="auto" w:sz="8" w:space="0"/>
              <w:left w:val="nil"/>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20" w:lineRule="exact"/>
              <w:ind w:left="0" w:right="0" w:firstLine="480" w:firstLineChars="200"/>
              <w:jc w:val="left"/>
              <w:rPr>
                <w:rFonts w:hint="eastAsia" w:ascii="仿宋_GB2312" w:hAnsi="仿宋_GB2312" w:eastAsia="仿宋_GB2312" w:cs="仿宋_GB2312"/>
                <w:color w:val="auto"/>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1248"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napToGrid w:val="0"/>
              <w:spacing w:before="100" w:beforeAutospacing="1" w:after="100" w:afterAutospacing="1" w:line="320" w:lineRule="exact"/>
              <w:ind w:left="0" w:right="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验收具体内容</w:t>
            </w:r>
          </w:p>
        </w:tc>
        <w:tc>
          <w:tcPr>
            <w:tcW w:w="7825" w:type="dxa"/>
            <w:gridSpan w:val="6"/>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napToGrid w:val="0"/>
              <w:spacing w:before="100" w:beforeAutospacing="1" w:after="100" w:afterAutospacing="1" w:line="320" w:lineRule="exact"/>
              <w:ind w:left="0" w:right="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sz w:val="24"/>
                <w:highlight w:val="none"/>
                <w:lang w:bidi="ar"/>
              </w:rPr>
              <w:t>（应</w:t>
            </w:r>
            <w:r>
              <w:rPr>
                <w:rFonts w:hint="eastAsia" w:ascii="仿宋_GB2312" w:hAnsi="仿宋_GB2312" w:eastAsia="仿宋_GB2312" w:cs="仿宋_GB2312"/>
                <w:color w:val="auto"/>
                <w:kern w:val="0"/>
                <w:sz w:val="24"/>
                <w:highlight w:val="none"/>
                <w:lang w:bidi="ar"/>
              </w:rPr>
              <w:t>按采购合同、采购文件、投标响应文件及验收方案等进行验收；并核对</w:t>
            </w:r>
            <w:r>
              <w:rPr>
                <w:rFonts w:hint="eastAsia" w:ascii="仿宋_GB2312" w:hAnsi="仿宋_GB2312" w:eastAsia="仿宋_GB2312" w:cs="仿宋_GB2312"/>
                <w:color w:val="auto"/>
                <w:sz w:val="24"/>
                <w:highlight w:val="none"/>
                <w:lang w:bidi="ar"/>
              </w:rPr>
              <w:t>中标或者成交供应商在服务等方面是否违反合同约定或服务规范要求、提供的质量保证证明材料是否齐全、是否达到合同约定等</w:t>
            </w:r>
            <w:r>
              <w:rPr>
                <w:rFonts w:hint="eastAsia" w:ascii="仿宋_GB2312" w:hAnsi="仿宋_GB2312" w:eastAsia="仿宋_GB2312" w:cs="仿宋_GB2312"/>
                <w:color w:val="auto"/>
                <w:kern w:val="0"/>
                <w:sz w:val="24"/>
                <w:highlight w:val="none"/>
                <w:lang w:bidi="ar"/>
              </w:rPr>
              <w:t>。可附件)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264" w:hRule="atLeast"/>
          <w:jc w:val="center"/>
        </w:trPr>
        <w:tc>
          <w:tcPr>
            <w:tcW w:w="1248"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100" w:beforeAutospacing="1" w:after="100" w:afterAutospacing="1" w:line="320" w:lineRule="exact"/>
              <w:ind w:left="0" w:right="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验收小组意见</w:t>
            </w:r>
          </w:p>
        </w:tc>
        <w:tc>
          <w:tcPr>
            <w:tcW w:w="7825" w:type="dxa"/>
            <w:gridSpan w:val="6"/>
            <w:tcBorders>
              <w:top w:val="single" w:color="auto" w:sz="8" w:space="0"/>
              <w:left w:val="nil"/>
              <w:bottom w:val="single" w:color="auto" w:sz="4" w:space="0"/>
              <w:right w:val="single" w:color="auto" w:sz="8" w:space="0"/>
            </w:tcBorders>
            <w:noWrap w:val="0"/>
            <w:vAlign w:val="center"/>
          </w:tcPr>
          <w:p>
            <w:pPr>
              <w:keepNext w:val="0"/>
              <w:keepLines w:val="0"/>
              <w:widowControl/>
              <w:suppressLineNumbers w:val="0"/>
              <w:spacing w:before="100" w:beforeAutospacing="1" w:after="100" w:afterAutospacing="1" w:line="320" w:lineRule="exact"/>
              <w:ind w:left="0" w:right="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 xml:space="preserve"> 验收结论性意见：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56" w:hRule="atLeast"/>
          <w:jc w:val="center"/>
        </w:trPr>
        <w:tc>
          <w:tcPr>
            <w:tcW w:w="124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4"/>
                <w:highlight w:val="none"/>
              </w:rPr>
            </w:pPr>
          </w:p>
        </w:tc>
        <w:tc>
          <w:tcPr>
            <w:tcW w:w="7825" w:type="dxa"/>
            <w:gridSpan w:val="6"/>
            <w:tcBorders>
              <w:top w:val="single" w:color="auto" w:sz="4" w:space="0"/>
              <w:left w:val="nil"/>
              <w:bottom w:val="single" w:color="auto" w:sz="8" w:space="0"/>
              <w:right w:val="single" w:color="auto" w:sz="8" w:space="0"/>
            </w:tcBorders>
            <w:noWrap w:val="0"/>
            <w:vAlign w:val="center"/>
          </w:tcPr>
          <w:p>
            <w:pPr>
              <w:keepNext w:val="0"/>
              <w:keepLines w:val="0"/>
              <w:suppressLineNumbers w:val="0"/>
              <w:spacing w:before="100" w:beforeAutospacing="1" w:after="100" w:afterAutospacing="1" w:line="320" w:lineRule="exact"/>
              <w:ind w:left="0" w:right="0" w:firstLine="96" w:firstLineChars="4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有异议的意见和说明理由：</w:t>
            </w:r>
          </w:p>
          <w:p>
            <w:pPr>
              <w:keepNext w:val="0"/>
              <w:keepLines w:val="0"/>
              <w:suppressLineNumbers w:val="0"/>
              <w:spacing w:before="100" w:beforeAutospacing="1" w:after="100" w:afterAutospacing="1" w:line="320" w:lineRule="exact"/>
              <w:ind w:left="0" w:right="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 xml:space="preserve">                                      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85" w:hRule="atLeast"/>
          <w:jc w:val="center"/>
        </w:trPr>
        <w:tc>
          <w:tcPr>
            <w:tcW w:w="9073" w:type="dxa"/>
            <w:gridSpan w:val="7"/>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100" w:beforeAutospacing="1" w:after="100" w:afterAutospacing="1" w:line="320" w:lineRule="exact"/>
              <w:ind w:left="0" w:right="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验收小组成员签字：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36" w:hRule="atLeast"/>
          <w:jc w:val="center"/>
        </w:trPr>
        <w:tc>
          <w:tcPr>
            <w:tcW w:w="9073" w:type="dxa"/>
            <w:gridSpan w:val="7"/>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100" w:beforeAutospacing="1" w:after="100" w:afterAutospacing="1" w:line="320" w:lineRule="exact"/>
              <w:ind w:left="0" w:right="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监督人员或其他相关人员签字：</w:t>
            </w:r>
          </w:p>
          <w:p>
            <w:pPr>
              <w:keepNext w:val="0"/>
              <w:keepLines w:val="0"/>
              <w:widowControl/>
              <w:suppressLineNumbers w:val="0"/>
              <w:spacing w:before="100" w:beforeAutospacing="1" w:after="100" w:afterAutospacing="1" w:line="320" w:lineRule="exact"/>
              <w:ind w:left="0" w:right="0" w:firstLine="74" w:firstLineChars="31"/>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或受邀机构的意见（盖章）：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58" w:hRule="atLeast"/>
          <w:jc w:val="center"/>
        </w:trPr>
        <w:tc>
          <w:tcPr>
            <w:tcW w:w="4498" w:type="dxa"/>
            <w:gridSpan w:val="3"/>
            <w:tcBorders>
              <w:top w:val="single" w:color="auto" w:sz="8" w:space="0"/>
              <w:left w:val="single" w:color="auto" w:sz="8" w:space="0"/>
              <w:bottom w:val="single" w:color="auto" w:sz="8" w:space="0"/>
              <w:right w:val="nil"/>
            </w:tcBorders>
            <w:noWrap w:val="0"/>
            <w:tcMar>
              <w:left w:w="108" w:type="dxa"/>
              <w:right w:w="108" w:type="dxa"/>
            </w:tcMar>
            <w:vAlign w:val="center"/>
          </w:tcPr>
          <w:p>
            <w:pPr>
              <w:keepNext w:val="0"/>
              <w:keepLines w:val="0"/>
              <w:widowControl/>
              <w:suppressLineNumbers w:val="0"/>
              <w:spacing w:before="100" w:beforeAutospacing="1" w:after="100" w:afterAutospacing="1" w:line="320" w:lineRule="exact"/>
              <w:ind w:left="0" w:right="0" w:firstLine="74" w:firstLineChars="31"/>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中标或者成交供应商负责人签字或盖章：</w:t>
            </w:r>
          </w:p>
          <w:p>
            <w:pPr>
              <w:keepNext w:val="0"/>
              <w:keepLines w:val="0"/>
              <w:widowControl/>
              <w:suppressLineNumbers w:val="0"/>
              <w:spacing w:before="100" w:beforeAutospacing="1" w:after="100" w:afterAutospacing="1" w:line="320" w:lineRule="exact"/>
              <w:ind w:left="0" w:right="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联系电话：         年 月 日</w:t>
            </w:r>
          </w:p>
        </w:tc>
        <w:tc>
          <w:tcPr>
            <w:tcW w:w="4575" w:type="dxa"/>
            <w:gridSpan w:val="4"/>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pacing w:before="100" w:beforeAutospacing="1" w:after="100" w:afterAutospacing="1" w:line="320" w:lineRule="exact"/>
              <w:ind w:left="0" w:right="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 xml:space="preserve"> 采购方或受托机构的意见（盖章）：</w:t>
            </w:r>
          </w:p>
          <w:p>
            <w:pPr>
              <w:keepNext w:val="0"/>
              <w:keepLines w:val="0"/>
              <w:widowControl/>
              <w:suppressLineNumbers w:val="0"/>
              <w:spacing w:before="100" w:beforeAutospacing="1" w:after="100" w:afterAutospacing="1" w:line="320" w:lineRule="exact"/>
              <w:ind w:left="0" w:right="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联系电话：                 年   月   日</w:t>
            </w:r>
          </w:p>
        </w:tc>
      </w:tr>
    </w:tbl>
    <w:p>
      <w:pPr>
        <w:widowControl/>
        <w:jc w:val="left"/>
        <w:rPr>
          <w:rFonts w:hint="eastAsia" w:ascii="仿宋_GB2312" w:hAnsi="仿宋_GB2312" w:eastAsia="仿宋_GB2312" w:cs="仿宋_GB2312"/>
          <w:color w:val="auto"/>
          <w:spacing w:val="-10"/>
          <w:kern w:val="0"/>
          <w:sz w:val="24"/>
          <w:highlight w:val="none"/>
          <w:lang w:bidi="ar"/>
        </w:rPr>
      </w:pPr>
      <w:r>
        <w:rPr>
          <w:rFonts w:hint="eastAsia" w:ascii="仿宋_GB2312" w:hAnsi="仿宋_GB2312" w:eastAsia="仿宋_GB2312" w:cs="仿宋_GB2312"/>
          <w:color w:val="auto"/>
          <w:spacing w:val="-10"/>
          <w:kern w:val="0"/>
          <w:sz w:val="24"/>
          <w:highlight w:val="none"/>
          <w:lang w:bidi="ar"/>
        </w:rPr>
        <w:t>备注：本报告单一式2份（采购单位1份、供应商1份）。</w:t>
      </w:r>
    </w:p>
    <w:p>
      <w:pPr>
        <w:pStyle w:val="34"/>
        <w:rPr>
          <w:rFonts w:hint="eastAsia"/>
          <w:color w:val="auto"/>
          <w:highlight w:val="none"/>
        </w:rPr>
      </w:pPr>
    </w:p>
    <w:p>
      <w:pPr>
        <w:pStyle w:val="15"/>
        <w:snapToGrid w:val="0"/>
        <w:spacing w:before="120" w:after="120"/>
        <w:rPr>
          <w:rFonts w:hint="eastAsia" w:ascii="仿宋_GB2312" w:hAnsi="仿宋_GB2312" w:eastAsia="仿宋_GB2312" w:cs="仿宋_GB2312"/>
          <w:color w:val="auto"/>
          <w:kern w:val="0"/>
          <w:sz w:val="28"/>
          <w:szCs w:val="28"/>
          <w:highlight w:val="none"/>
        </w:rPr>
        <w:sectPr>
          <w:footerReference r:id="rId12" w:type="default"/>
          <w:pgSz w:w="11906" w:h="16838"/>
          <w:pgMar w:top="1418" w:right="1418" w:bottom="1418" w:left="1418" w:header="851" w:footer="992" w:gutter="0"/>
          <w:pgNumType w:fmt="decimal"/>
          <w:cols w:space="720" w:num="1"/>
          <w:docGrid w:type="lines" w:linePitch="312" w:charSpace="0"/>
        </w:sectPr>
      </w:pPr>
    </w:p>
    <w:p>
      <w:pPr>
        <w:spacing w:before="312" w:beforeLines="100" w:after="312" w:afterLines="100" w:line="300" w:lineRule="auto"/>
        <w:jc w:val="center"/>
        <w:outlineLvl w:val="0"/>
        <w:rPr>
          <w:b/>
          <w:color w:val="auto"/>
          <w:sz w:val="32"/>
          <w:szCs w:val="32"/>
          <w:highlight w:val="none"/>
        </w:rPr>
      </w:pPr>
      <w:bookmarkStart w:id="21" w:name="_Toc1629"/>
      <w:bookmarkStart w:id="22" w:name="_Toc9119"/>
      <w:r>
        <w:rPr>
          <w:rFonts w:hint="eastAsia" w:ascii="宋体" w:hAnsi="宋体" w:cs="宋体"/>
          <w:b/>
          <w:color w:val="auto"/>
          <w:sz w:val="32"/>
          <w:szCs w:val="32"/>
          <w:highlight w:val="none"/>
        </w:rPr>
        <w:t>第</w:t>
      </w:r>
      <w:r>
        <w:rPr>
          <w:rFonts w:hint="eastAsia"/>
          <w:b/>
          <w:color w:val="auto"/>
          <w:sz w:val="32"/>
          <w:szCs w:val="32"/>
          <w:highlight w:val="none"/>
        </w:rPr>
        <w:t>四</w:t>
      </w:r>
      <w:r>
        <w:rPr>
          <w:rFonts w:hint="eastAsia" w:ascii="宋体" w:hAnsi="宋体" w:cs="宋体"/>
          <w:b/>
          <w:color w:val="auto"/>
          <w:sz w:val="32"/>
          <w:szCs w:val="32"/>
          <w:highlight w:val="none"/>
        </w:rPr>
        <w:t>章</w:t>
      </w:r>
      <w:r>
        <w:rPr>
          <w:rFonts w:eastAsia="Times New Roman"/>
          <w:b/>
          <w:color w:val="auto"/>
          <w:sz w:val="32"/>
          <w:szCs w:val="32"/>
          <w:highlight w:val="none"/>
        </w:rPr>
        <w:t xml:space="preserve"> </w:t>
      </w:r>
      <w:r>
        <w:rPr>
          <w:rFonts w:hint="eastAsia"/>
          <w:b/>
          <w:color w:val="auto"/>
          <w:sz w:val="32"/>
          <w:szCs w:val="32"/>
          <w:highlight w:val="none"/>
        </w:rPr>
        <w:t>评定成交的标准</w:t>
      </w:r>
      <w:bookmarkEnd w:id="21"/>
      <w:bookmarkEnd w:id="22"/>
    </w:p>
    <w:p>
      <w:pPr>
        <w:tabs>
          <w:tab w:val="left" w:pos="540"/>
        </w:tabs>
        <w:topLinePunct/>
        <w:snapToGrid w:val="0"/>
        <w:spacing w:line="360" w:lineRule="auto"/>
        <w:ind w:firstLine="482" w:firstLineChars="200"/>
        <w:jc w:val="left"/>
        <w:rPr>
          <w:rFonts w:hint="eastAsia"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一、评标原则</w:t>
      </w:r>
    </w:p>
    <w:p>
      <w:pPr>
        <w:tabs>
          <w:tab w:val="left" w:pos="540"/>
        </w:tabs>
        <w:topLinePunct/>
        <w:snapToGrid w:val="0"/>
        <w:spacing w:line="360" w:lineRule="auto"/>
        <w:ind w:firstLine="480" w:firstLineChars="200"/>
        <w:jc w:val="left"/>
        <w:rPr>
          <w:rFonts w:hint="eastAsia" w:ascii="仿宋_GB2312" w:hAnsi="仿宋_GB2312" w:eastAsia="仿宋_GB2312" w:cs="仿宋_GB2312"/>
          <w:bCs/>
          <w:color w:val="auto"/>
          <w:kern w:val="0"/>
          <w:sz w:val="24"/>
          <w:highlight w:val="none"/>
        </w:rPr>
      </w:pPr>
      <w:r>
        <w:rPr>
          <w:rFonts w:hint="eastAsia" w:ascii="仿宋_GB2312" w:hAnsi="仿宋_GB2312" w:eastAsia="仿宋_GB2312" w:cs="仿宋_GB2312"/>
          <w:bCs/>
          <w:color w:val="auto"/>
          <w:kern w:val="0"/>
          <w:sz w:val="24"/>
          <w:highlight w:val="none"/>
        </w:rPr>
        <w:t>（一）磋商小组构成：本项目的磋商小组由采购方代表和有关技术、经济等方面的专家组成。成员人数应当为3人以上（含3人）单数。</w:t>
      </w:r>
    </w:p>
    <w:p>
      <w:pPr>
        <w:tabs>
          <w:tab w:val="left" w:pos="540"/>
        </w:tabs>
        <w:topLinePunct/>
        <w:snapToGrid w:val="0"/>
        <w:spacing w:line="360" w:lineRule="auto"/>
        <w:ind w:firstLine="480" w:firstLineChars="200"/>
        <w:jc w:val="left"/>
        <w:rPr>
          <w:rFonts w:hint="eastAsia" w:ascii="仿宋_GB2312" w:hAnsi="仿宋_GB2312" w:eastAsia="仿宋_GB2312" w:cs="仿宋_GB2312"/>
          <w:bCs/>
          <w:color w:val="auto"/>
          <w:kern w:val="0"/>
          <w:sz w:val="24"/>
          <w:highlight w:val="none"/>
        </w:rPr>
      </w:pPr>
      <w:r>
        <w:rPr>
          <w:rFonts w:hint="eastAsia" w:ascii="仿宋_GB2312" w:hAnsi="仿宋_GB2312" w:eastAsia="仿宋_GB2312" w:cs="仿宋_GB2312"/>
          <w:bCs/>
          <w:color w:val="auto"/>
          <w:kern w:val="0"/>
          <w:sz w:val="24"/>
          <w:highlight w:val="none"/>
        </w:rPr>
        <w:t>（二）评标依据：</w:t>
      </w:r>
      <w:r>
        <w:rPr>
          <w:rFonts w:hint="eastAsia" w:ascii="仿宋_GB2312" w:hAnsi="仿宋_GB2312" w:eastAsia="仿宋_GB2312" w:cs="仿宋_GB2312"/>
          <w:color w:val="auto"/>
          <w:sz w:val="24"/>
          <w:highlight w:val="none"/>
        </w:rPr>
        <w:t>磋商小组将以竞争性磋商文件和响应文件为评审依据，对供应商的最后报价、货物性能、售后服务、信誉、业绩、政策功能等方面内容按百分制打分。</w:t>
      </w:r>
    </w:p>
    <w:p>
      <w:pPr>
        <w:tabs>
          <w:tab w:val="left" w:pos="540"/>
        </w:tabs>
        <w:topLinePunct/>
        <w:snapToGrid w:val="0"/>
        <w:spacing w:line="360" w:lineRule="auto"/>
        <w:ind w:firstLine="480" w:firstLineChars="200"/>
        <w:jc w:val="left"/>
        <w:rPr>
          <w:rFonts w:hint="eastAsia" w:ascii="仿宋_GB2312" w:hAnsi="仿宋_GB2312" w:eastAsia="仿宋_GB2312" w:cs="仿宋_GB2312"/>
          <w:bCs/>
          <w:color w:val="auto"/>
          <w:kern w:val="0"/>
          <w:sz w:val="24"/>
          <w:highlight w:val="none"/>
        </w:rPr>
      </w:pPr>
      <w:r>
        <w:rPr>
          <w:rFonts w:hint="eastAsia" w:ascii="仿宋_GB2312" w:hAnsi="仿宋_GB2312" w:eastAsia="仿宋_GB2312" w:cs="仿宋_GB2312"/>
          <w:bCs/>
          <w:color w:val="auto"/>
          <w:kern w:val="0"/>
          <w:sz w:val="24"/>
          <w:highlight w:val="none"/>
        </w:rPr>
        <w:t>（三）评标方式：以封闭方式进行。</w:t>
      </w:r>
    </w:p>
    <w:p>
      <w:pPr>
        <w:tabs>
          <w:tab w:val="left" w:pos="540"/>
        </w:tabs>
        <w:topLinePunct/>
        <w:snapToGrid w:val="0"/>
        <w:spacing w:line="360" w:lineRule="auto"/>
        <w:ind w:firstLine="482" w:firstLineChars="200"/>
        <w:jc w:val="left"/>
        <w:rPr>
          <w:rFonts w:hint="eastAsia"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二、评标方法</w:t>
      </w:r>
    </w:p>
    <w:p>
      <w:pPr>
        <w:tabs>
          <w:tab w:val="left" w:pos="540"/>
        </w:tabs>
        <w:topLinePunct/>
        <w:snapToGrid w:val="0"/>
        <w:spacing w:line="360" w:lineRule="auto"/>
        <w:ind w:firstLine="480" w:firstLineChars="200"/>
        <w:jc w:val="left"/>
        <w:rPr>
          <w:rFonts w:hint="eastAsia" w:ascii="仿宋_GB2312" w:hAnsi="仿宋_GB2312" w:eastAsia="仿宋_GB2312" w:cs="仿宋_GB2312"/>
          <w:bCs/>
          <w:color w:val="auto"/>
          <w:kern w:val="0"/>
          <w:sz w:val="24"/>
          <w:highlight w:val="none"/>
        </w:rPr>
      </w:pPr>
      <w:r>
        <w:rPr>
          <w:rFonts w:hint="eastAsia" w:ascii="仿宋_GB2312" w:hAnsi="仿宋_GB2312" w:eastAsia="仿宋_GB2312" w:cs="仿宋_GB2312"/>
          <w:bCs/>
          <w:color w:val="auto"/>
          <w:kern w:val="0"/>
          <w:sz w:val="24"/>
          <w:highlight w:val="none"/>
        </w:rPr>
        <w:t>（一）磋商小组根据竞争性磋商文件要求对各供应商的资格和响应文件的完整性、符合性等进行审查，以确定是否对竞争性磋商文件的实质性要求作出响应。</w:t>
      </w:r>
    </w:p>
    <w:p>
      <w:pPr>
        <w:tabs>
          <w:tab w:val="left" w:pos="540"/>
        </w:tabs>
        <w:topLinePunct/>
        <w:snapToGrid w:val="0"/>
        <w:spacing w:line="360" w:lineRule="auto"/>
        <w:ind w:firstLine="480" w:firstLineChars="200"/>
        <w:jc w:val="left"/>
        <w:rPr>
          <w:rFonts w:hint="eastAsia" w:ascii="仿宋_GB2312" w:hAnsi="仿宋_GB2312" w:eastAsia="仿宋_GB2312" w:cs="仿宋_GB2312"/>
          <w:bCs/>
          <w:color w:val="auto"/>
          <w:kern w:val="0"/>
          <w:sz w:val="24"/>
          <w:highlight w:val="none"/>
        </w:rPr>
      </w:pPr>
      <w:r>
        <w:rPr>
          <w:rFonts w:hint="eastAsia" w:ascii="仿宋_GB2312" w:hAnsi="仿宋_GB2312" w:eastAsia="仿宋_GB2312" w:cs="仿宋_GB2312"/>
          <w:bCs/>
          <w:color w:val="auto"/>
          <w:kern w:val="0"/>
          <w:sz w:val="24"/>
          <w:highlight w:val="none"/>
        </w:rPr>
        <w:t>（二）对进入详评的，采用百分制综合评分法。</w:t>
      </w:r>
    </w:p>
    <w:p>
      <w:pPr>
        <w:tabs>
          <w:tab w:val="left" w:pos="540"/>
        </w:tabs>
        <w:topLinePunct/>
        <w:snapToGrid w:val="0"/>
        <w:spacing w:line="360" w:lineRule="auto"/>
        <w:ind w:firstLine="480" w:firstLineChars="200"/>
        <w:jc w:val="left"/>
        <w:rPr>
          <w:rFonts w:hint="eastAsia" w:ascii="仿宋_GB2312" w:hAnsi="仿宋_GB2312" w:eastAsia="仿宋_GB2312" w:cs="仿宋_GB2312"/>
          <w:bCs/>
          <w:color w:val="auto"/>
          <w:kern w:val="0"/>
          <w:sz w:val="24"/>
          <w:highlight w:val="none"/>
        </w:rPr>
      </w:pPr>
      <w:r>
        <w:rPr>
          <w:rFonts w:hint="eastAsia" w:ascii="仿宋_GB2312" w:hAnsi="仿宋_GB2312" w:eastAsia="仿宋_GB2312" w:cs="仿宋_GB2312"/>
          <w:bCs/>
          <w:color w:val="auto"/>
          <w:kern w:val="0"/>
          <w:sz w:val="24"/>
          <w:highlight w:val="none"/>
        </w:rPr>
        <w:t>（三）计分办法（按四舍五入取至百分位）：</w:t>
      </w:r>
    </w:p>
    <w:p>
      <w:pPr>
        <w:tabs>
          <w:tab w:val="left" w:pos="540"/>
        </w:tabs>
        <w:topLinePunct/>
        <w:snapToGrid w:val="0"/>
        <w:spacing w:line="360" w:lineRule="auto"/>
        <w:ind w:firstLine="482" w:firstLineChars="200"/>
        <w:jc w:val="lef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kern w:val="0"/>
          <w:sz w:val="24"/>
          <w:highlight w:val="none"/>
        </w:rPr>
        <w:t>1、价格分</w:t>
      </w:r>
      <w:r>
        <w:rPr>
          <w:rFonts w:hint="eastAsia" w:ascii="仿宋_GB2312" w:hAnsi="仿宋_GB2312" w:eastAsia="仿宋_GB2312" w:cs="仿宋_GB2312"/>
          <w:b/>
          <w:color w:val="auto"/>
          <w:sz w:val="24"/>
          <w:highlight w:val="none"/>
        </w:rPr>
        <w:t>……………………………………………………………………………15分</w:t>
      </w:r>
    </w:p>
    <w:p>
      <w:pPr>
        <w:tabs>
          <w:tab w:val="left" w:pos="540"/>
        </w:tabs>
        <w:topLinePunct/>
        <w:snapToGrid w:val="0"/>
        <w:spacing w:line="360" w:lineRule="auto"/>
        <w:ind w:firstLine="480" w:firstLineChars="200"/>
        <w:jc w:val="left"/>
        <w:rPr>
          <w:rFonts w:hint="eastAsia" w:ascii="仿宋_GB2312" w:hAnsi="仿宋_GB2312" w:eastAsia="仿宋_GB2312" w:cs="仿宋_GB2312"/>
          <w:bCs/>
          <w:color w:val="auto"/>
          <w:kern w:val="0"/>
          <w:sz w:val="24"/>
          <w:highlight w:val="none"/>
        </w:rPr>
      </w:pPr>
      <w:r>
        <w:rPr>
          <w:rFonts w:hint="eastAsia" w:ascii="仿宋_GB2312" w:hAnsi="仿宋_GB2312" w:eastAsia="仿宋_GB2312" w:cs="仿宋_GB2312"/>
          <w:bCs/>
          <w:color w:val="auto"/>
          <w:kern w:val="0"/>
          <w:sz w:val="24"/>
          <w:highlight w:val="none"/>
        </w:rPr>
        <w:t>（1）评标价为供应商的磋商报价进行政策性扣除后的价格，评标价只是作为评标时使用。最终成交人的成交金额＝最终磋商报价。</w:t>
      </w:r>
    </w:p>
    <w:p>
      <w:pPr>
        <w:tabs>
          <w:tab w:val="left" w:pos="540"/>
        </w:tabs>
        <w:topLinePunct/>
        <w:snapToGrid w:val="0"/>
        <w:spacing w:line="360" w:lineRule="auto"/>
        <w:ind w:firstLine="480" w:firstLineChars="200"/>
        <w:jc w:val="left"/>
        <w:rPr>
          <w:rFonts w:hint="eastAsia" w:ascii="仿宋_GB2312" w:hAnsi="仿宋_GB2312" w:eastAsia="仿宋_GB2312" w:cs="仿宋_GB2312"/>
          <w:bCs/>
          <w:color w:val="auto"/>
          <w:kern w:val="0"/>
          <w:sz w:val="24"/>
          <w:highlight w:val="none"/>
        </w:rPr>
      </w:pPr>
      <w:r>
        <w:rPr>
          <w:rFonts w:hint="eastAsia" w:ascii="仿宋_GB2312" w:hAnsi="仿宋_GB2312" w:eastAsia="仿宋_GB2312" w:cs="仿宋_GB2312"/>
          <w:bCs/>
          <w:color w:val="auto"/>
          <w:kern w:val="0"/>
          <w:sz w:val="24"/>
          <w:highlight w:val="none"/>
        </w:rPr>
        <w:t>政策性扣除计算方法：供应商符合小型、微型企业或监狱企业条件的，其磋商报价将按相应比例进行扣除，用扣除后的价格参与评审（计算价格分）。小型、微型企业组成联合体参加磋商的，联合体视同为小型、微型企业享受扶持政策。</w:t>
      </w:r>
    </w:p>
    <w:p>
      <w:pPr>
        <w:tabs>
          <w:tab w:val="left" w:pos="540"/>
        </w:tabs>
        <w:topLinePunct/>
        <w:snapToGrid w:val="0"/>
        <w:spacing w:line="360" w:lineRule="auto"/>
        <w:ind w:firstLine="480" w:firstLineChars="200"/>
        <w:jc w:val="left"/>
        <w:rPr>
          <w:rFonts w:hint="eastAsia" w:ascii="仿宋_GB2312" w:hAnsi="仿宋_GB2312" w:eastAsia="仿宋_GB2312" w:cs="仿宋_GB2312"/>
          <w:bCs/>
          <w:color w:val="auto"/>
          <w:kern w:val="0"/>
          <w:sz w:val="24"/>
          <w:highlight w:val="none"/>
        </w:rPr>
      </w:pPr>
      <w:r>
        <w:rPr>
          <w:rFonts w:hint="eastAsia" w:ascii="仿宋_GB2312" w:hAnsi="仿宋_GB2312" w:eastAsia="仿宋_GB2312" w:cs="仿宋_GB2312"/>
          <w:bCs/>
          <w:color w:val="auto"/>
          <w:kern w:val="0"/>
          <w:sz w:val="24"/>
          <w:highlight w:val="none"/>
        </w:rPr>
        <w:t>按照《财政部、司法部关于政府采购支持监狱企业发展有关问题的通知》（财库〔2014〕68号）之规定，监狱企业视同小型、微型企业。</w:t>
      </w:r>
    </w:p>
    <w:p>
      <w:pPr>
        <w:tabs>
          <w:tab w:val="left" w:pos="540"/>
        </w:tabs>
        <w:topLinePunct/>
        <w:snapToGrid w:val="0"/>
        <w:spacing w:line="360" w:lineRule="auto"/>
        <w:ind w:firstLine="480" w:firstLineChars="200"/>
        <w:jc w:val="left"/>
        <w:rPr>
          <w:rFonts w:hint="eastAsia" w:ascii="仿宋_GB2312" w:hAnsi="仿宋_GB2312" w:eastAsia="仿宋_GB2312" w:cs="仿宋_GB2312"/>
          <w:bCs/>
          <w:color w:val="auto"/>
          <w:kern w:val="0"/>
          <w:sz w:val="24"/>
          <w:highlight w:val="none"/>
        </w:rPr>
      </w:pPr>
      <w:r>
        <w:rPr>
          <w:rFonts w:hint="eastAsia" w:ascii="仿宋_GB2312" w:hAnsi="仿宋_GB2312" w:eastAsia="仿宋_GB2312" w:cs="仿宋_GB2312"/>
          <w:bCs/>
          <w:color w:val="auto"/>
          <w:kern w:val="0"/>
          <w:sz w:val="24"/>
          <w:highlight w:val="none"/>
        </w:rPr>
        <w:t>按照《政府采购促进中小企业发展暂行办法》（财库[2011]181号）第五条的规定：对小型或微型企业产品的价格给予10%的扣除，用扣除后的价格为评标报价参与评审，即：评标报价=最终磋商价×（1-10%）。（供应商须如实填写中小企业声明函，并对声明的真实性负责）。</w:t>
      </w:r>
    </w:p>
    <w:p>
      <w:pPr>
        <w:tabs>
          <w:tab w:val="left" w:pos="540"/>
        </w:tabs>
        <w:topLinePunct/>
        <w:snapToGrid w:val="0"/>
        <w:spacing w:line="360" w:lineRule="auto"/>
        <w:ind w:firstLine="480" w:firstLineChars="200"/>
        <w:jc w:val="left"/>
        <w:rPr>
          <w:rFonts w:hint="eastAsia" w:ascii="仿宋_GB2312" w:hAnsi="仿宋_GB2312" w:eastAsia="仿宋_GB2312" w:cs="仿宋_GB2312"/>
          <w:bCs/>
          <w:color w:val="auto"/>
          <w:kern w:val="0"/>
          <w:sz w:val="24"/>
          <w:highlight w:val="none"/>
        </w:rPr>
      </w:pPr>
      <w:r>
        <w:rPr>
          <w:rFonts w:hint="eastAsia" w:ascii="仿宋_GB2312" w:hAnsi="仿宋_GB2312" w:eastAsia="仿宋_GB2312" w:cs="仿宋_GB2312"/>
          <w:bCs/>
          <w:color w:val="auto"/>
          <w:kern w:val="0"/>
          <w:sz w:val="24"/>
          <w:highlight w:val="none"/>
        </w:rPr>
        <w:t>大中型企业和其他自然人、法人或者其他组织与小型、微型企业组成联合体磋商，联合体协议中约定小型、微型企业的协议合同金额占到联合体协议合同总金额30%以上的，联合体投标价给予2%的扣除，扣除后的价格为评标价，即评标报价=最终磋商价×（1-2%）；除上述情况外，评标报价=最终磋商价。</w:t>
      </w:r>
    </w:p>
    <w:p>
      <w:pPr>
        <w:tabs>
          <w:tab w:val="left" w:pos="540"/>
        </w:tabs>
        <w:topLinePunct/>
        <w:snapToGrid w:val="0"/>
        <w:spacing w:line="360" w:lineRule="auto"/>
        <w:ind w:firstLine="480" w:firstLineChars="200"/>
        <w:jc w:val="left"/>
        <w:rPr>
          <w:rFonts w:hint="eastAsia" w:ascii="仿宋_GB2312" w:hAnsi="仿宋_GB2312" w:eastAsia="仿宋_GB2312" w:cs="仿宋_GB2312"/>
          <w:bCs/>
          <w:color w:val="auto"/>
          <w:kern w:val="0"/>
          <w:sz w:val="24"/>
          <w:highlight w:val="none"/>
        </w:rPr>
      </w:pPr>
      <w:r>
        <w:rPr>
          <w:rFonts w:hint="eastAsia" w:ascii="仿宋_GB2312" w:hAnsi="仿宋_GB2312" w:eastAsia="仿宋_GB2312" w:cs="仿宋_GB2312"/>
          <w:bCs/>
          <w:color w:val="auto"/>
          <w:kern w:val="0"/>
          <w:sz w:val="24"/>
          <w:highlight w:val="none"/>
        </w:rPr>
        <w:t>根据《关于促进残疾人就业政府采购政策的通知》（财库【2017】141号）规定，残疾人福利性单位视同小型、微型企业，评审中对价格给予折扣，残疾人福利性单位属于小型、微型企业的，不重复享受政策。符合条件的残疾人福利性单位在参加政府采购活动时，应当提供本通知规定的《残疾人福利性单位声明函》（见附件），并对声明的真实性负责。</w:t>
      </w:r>
    </w:p>
    <w:p>
      <w:pPr>
        <w:snapToGrid w:val="0"/>
        <w:spacing w:line="360" w:lineRule="auto"/>
        <w:ind w:firstLine="487" w:firstLineChars="202"/>
        <w:jc w:val="lef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特别说明：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pPr>
        <w:tabs>
          <w:tab w:val="left" w:pos="540"/>
        </w:tabs>
        <w:topLinePunct/>
        <w:snapToGrid w:val="0"/>
        <w:spacing w:line="360" w:lineRule="auto"/>
        <w:ind w:firstLine="480" w:firstLineChars="200"/>
        <w:jc w:val="left"/>
        <w:rPr>
          <w:rFonts w:hint="eastAsia" w:ascii="仿宋_GB2312" w:hAnsi="仿宋_GB2312" w:eastAsia="仿宋_GB2312" w:cs="仿宋_GB2312"/>
          <w:bCs/>
          <w:color w:val="auto"/>
          <w:kern w:val="0"/>
          <w:sz w:val="24"/>
          <w:highlight w:val="none"/>
        </w:rPr>
      </w:pPr>
      <w:r>
        <w:rPr>
          <w:rFonts w:hint="eastAsia" w:ascii="仿宋_GB2312" w:hAnsi="仿宋_GB2312" w:eastAsia="仿宋_GB2312" w:cs="仿宋_GB2312"/>
          <w:bCs/>
          <w:color w:val="auto"/>
          <w:kern w:val="0"/>
          <w:sz w:val="24"/>
          <w:highlight w:val="none"/>
        </w:rPr>
        <w:t>（2）以进入综合评分环节的最低的评标报价为基准价，基准价报价得分为15分。</w:t>
      </w:r>
    </w:p>
    <w:p>
      <w:pPr>
        <w:tabs>
          <w:tab w:val="left" w:pos="540"/>
        </w:tabs>
        <w:topLinePunct/>
        <w:snapToGrid w:val="0"/>
        <w:spacing w:line="360" w:lineRule="auto"/>
        <w:ind w:firstLine="480" w:firstLineChars="200"/>
        <w:jc w:val="left"/>
        <w:rPr>
          <w:rFonts w:hint="eastAsia" w:ascii="仿宋_GB2312" w:hAnsi="仿宋_GB2312" w:eastAsia="仿宋_GB2312" w:cs="仿宋_GB2312"/>
          <w:bCs/>
          <w:color w:val="auto"/>
          <w:kern w:val="0"/>
          <w:sz w:val="24"/>
          <w:highlight w:val="none"/>
        </w:rPr>
      </w:pPr>
      <w:r>
        <w:rPr>
          <w:rFonts w:hint="eastAsia" w:ascii="仿宋_GB2312" w:hAnsi="仿宋_GB2312" w:eastAsia="仿宋_GB2312" w:cs="仿宋_GB2312"/>
          <w:bCs/>
          <w:color w:val="auto"/>
          <w:kern w:val="0"/>
          <w:sz w:val="24"/>
          <w:highlight w:val="none"/>
        </w:rPr>
        <w:t>（3）某供应商报价分公式：某供应商价格分＝基准价/某供应商评标报价金额×15分</w:t>
      </w:r>
    </w:p>
    <w:p>
      <w:pPr>
        <w:tabs>
          <w:tab w:val="left" w:pos="540"/>
        </w:tabs>
        <w:topLinePunct/>
        <w:snapToGrid w:val="0"/>
        <w:spacing w:line="360" w:lineRule="auto"/>
        <w:ind w:firstLine="482" w:firstLineChars="200"/>
        <w:jc w:val="lef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kern w:val="0"/>
          <w:sz w:val="24"/>
          <w:highlight w:val="none"/>
        </w:rPr>
        <w:t>2、技术分</w:t>
      </w:r>
      <w:r>
        <w:rPr>
          <w:rFonts w:hint="eastAsia" w:ascii="仿宋_GB2312" w:hAnsi="仿宋_GB2312" w:eastAsia="仿宋_GB2312" w:cs="仿宋_GB2312"/>
          <w:b/>
          <w:color w:val="auto"/>
          <w:sz w:val="24"/>
          <w:highlight w:val="none"/>
        </w:rPr>
        <w:t>……………………………………………………………………………60分</w:t>
      </w:r>
    </w:p>
    <w:p>
      <w:pPr>
        <w:snapToGrid w:val="0"/>
        <w:spacing w:line="360" w:lineRule="auto"/>
        <w:ind w:firstLine="482" w:firstLineChars="200"/>
        <w:rPr>
          <w:rFonts w:hint="eastAsia" w:ascii="仿宋_GB2312" w:hAnsi="仿宋_GB2312" w:eastAsia="仿宋_GB2312" w:cs="仿宋_GB2312"/>
          <w:b/>
          <w:color w:val="auto"/>
          <w:sz w:val="24"/>
          <w:highlight w:val="none"/>
          <w:u w:val="none"/>
        </w:rPr>
      </w:pPr>
      <w:r>
        <w:rPr>
          <w:rFonts w:hint="eastAsia" w:ascii="仿宋_GB2312" w:hAnsi="仿宋_GB2312" w:eastAsia="仿宋_GB2312" w:cs="仿宋_GB2312"/>
          <w:b/>
          <w:color w:val="auto"/>
          <w:sz w:val="24"/>
          <w:highlight w:val="none"/>
          <w:u w:val="none"/>
        </w:rPr>
        <w:t>2.1服务方案分（满分20分）</w:t>
      </w:r>
    </w:p>
    <w:p>
      <w:pPr>
        <w:pStyle w:val="15"/>
        <w:keepNext w:val="0"/>
        <w:keepLines w:val="0"/>
        <w:widowControl/>
        <w:suppressLineNumbers w:val="0"/>
        <w:spacing w:before="0" w:beforeAutospacing="0" w:after="0" w:afterAutospacing="0" w:line="360" w:lineRule="auto"/>
        <w:ind w:left="0" w:firstLine="480"/>
        <w:jc w:val="left"/>
        <w:rPr>
          <w:color w:val="auto"/>
          <w:highlight w:val="none"/>
          <w:u w:val="none"/>
        </w:rPr>
      </w:pPr>
      <w:r>
        <w:rPr>
          <w:rFonts w:ascii="仿宋_GB2312" w:eastAsia="仿宋_GB2312" w:cs="仿宋_GB2312"/>
          <w:color w:val="auto"/>
          <w:sz w:val="24"/>
          <w:szCs w:val="24"/>
          <w:highlight w:val="none"/>
          <w:u w:val="none"/>
          <w:shd w:val="clear" w:fill="FFFFFF"/>
        </w:rPr>
        <w:t>一档（7分）：服务方案简单，有对服务内容的理解（服务目标理解、服务的重点和难点分析），制定工作方案。</w:t>
      </w:r>
    </w:p>
    <w:p>
      <w:pPr>
        <w:pStyle w:val="15"/>
        <w:keepNext w:val="0"/>
        <w:keepLines w:val="0"/>
        <w:widowControl/>
        <w:suppressLineNumbers w:val="0"/>
        <w:spacing w:before="0" w:beforeAutospacing="0" w:after="0" w:afterAutospacing="0" w:line="360" w:lineRule="auto"/>
        <w:ind w:left="0" w:firstLine="480"/>
        <w:jc w:val="left"/>
        <w:rPr>
          <w:color w:val="auto"/>
          <w:highlight w:val="none"/>
          <w:u w:val="none"/>
        </w:rPr>
      </w:pPr>
      <w:r>
        <w:rPr>
          <w:rFonts w:hint="default" w:ascii="仿宋_GB2312" w:eastAsia="仿宋_GB2312" w:cs="仿宋_GB2312"/>
          <w:color w:val="auto"/>
          <w:sz w:val="24"/>
          <w:szCs w:val="24"/>
          <w:highlight w:val="none"/>
          <w:u w:val="none"/>
          <w:shd w:val="clear" w:fill="FFFFFF"/>
        </w:rPr>
        <w:t>二档（13分）：服务方案较详细，对服务内容的理解（服务目标理解、服务的重点和难点分析）有合理性；制定合理可行的工作方案（工作流程、沟通协调机制、质量保证措施）。</w:t>
      </w:r>
    </w:p>
    <w:p>
      <w:pPr>
        <w:pStyle w:val="15"/>
        <w:keepNext w:val="0"/>
        <w:keepLines w:val="0"/>
        <w:widowControl/>
        <w:suppressLineNumbers w:val="0"/>
        <w:spacing w:before="0" w:beforeAutospacing="0" w:after="0" w:afterAutospacing="0" w:line="360" w:lineRule="auto"/>
        <w:ind w:left="0" w:firstLine="480"/>
        <w:jc w:val="left"/>
        <w:rPr>
          <w:color w:val="auto"/>
          <w:highlight w:val="none"/>
          <w:u w:val="none"/>
        </w:rPr>
      </w:pPr>
      <w:r>
        <w:rPr>
          <w:rFonts w:hint="default" w:ascii="仿宋_GB2312" w:eastAsia="仿宋_GB2312" w:cs="仿宋_GB2312"/>
          <w:color w:val="auto"/>
          <w:sz w:val="24"/>
          <w:szCs w:val="24"/>
          <w:highlight w:val="none"/>
          <w:u w:val="none"/>
          <w:shd w:val="clear" w:fill="FFFFFF"/>
        </w:rPr>
        <w:t>三档（20分）：服务方案详实，对服务内容的理解（服务目标理解、服务的重点和难点分析）透彻到位；制定完整可行的工作方案（工作流程、沟通协调机制、质量保证措施、采购方对服务不满意的解决方案、相关违约承诺），工作方案优良，提供专项方案。</w:t>
      </w:r>
    </w:p>
    <w:p>
      <w:pPr>
        <w:snapToGrid w:val="0"/>
        <w:spacing w:line="360" w:lineRule="auto"/>
        <w:ind w:firstLine="480" w:firstLineChars="200"/>
        <w:rPr>
          <w:rFonts w:hint="eastAsia" w:ascii="仿宋_GB2312" w:hAnsi="仿宋_GB2312" w:eastAsia="仿宋_GB2312" w:cs="仿宋_GB2312"/>
          <w:b w:val="0"/>
          <w:bCs/>
          <w:color w:val="auto"/>
          <w:sz w:val="24"/>
          <w:highlight w:val="none"/>
          <w:u w:val="none"/>
        </w:rPr>
      </w:pPr>
      <w:r>
        <w:rPr>
          <w:rFonts w:hint="eastAsia" w:ascii="仿宋_GB2312" w:hAnsi="仿宋_GB2312" w:eastAsia="仿宋_GB2312" w:cs="仿宋_GB2312"/>
          <w:b w:val="0"/>
          <w:bCs/>
          <w:color w:val="auto"/>
          <w:sz w:val="24"/>
          <w:highlight w:val="none"/>
          <w:u w:val="none"/>
        </w:rPr>
        <w:t>不提供方案或不满足以上评分项的不得分。</w:t>
      </w:r>
    </w:p>
    <w:p>
      <w:pPr>
        <w:snapToGrid w:val="0"/>
        <w:spacing w:line="360" w:lineRule="auto"/>
        <w:ind w:firstLine="482" w:firstLineChars="200"/>
        <w:rPr>
          <w:rFonts w:hint="eastAsia" w:ascii="仿宋_GB2312" w:hAnsi="仿宋_GB2312" w:eastAsia="仿宋_GB2312" w:cs="仿宋_GB2312"/>
          <w:b/>
          <w:color w:val="auto"/>
          <w:sz w:val="24"/>
          <w:highlight w:val="none"/>
          <w:u w:val="none"/>
        </w:rPr>
      </w:pPr>
      <w:r>
        <w:rPr>
          <w:rFonts w:hint="eastAsia" w:ascii="仿宋_GB2312" w:hAnsi="仿宋_GB2312" w:eastAsia="仿宋_GB2312" w:cs="仿宋_GB2312"/>
          <w:b/>
          <w:color w:val="auto"/>
          <w:sz w:val="24"/>
          <w:highlight w:val="none"/>
          <w:u w:val="none"/>
        </w:rPr>
        <w:t>2.2实施方案分（满分20分）</w:t>
      </w:r>
    </w:p>
    <w:p>
      <w:pPr>
        <w:pStyle w:val="15"/>
        <w:keepNext w:val="0"/>
        <w:keepLines w:val="0"/>
        <w:widowControl/>
        <w:suppressLineNumbers w:val="0"/>
        <w:snapToGrid w:val="0"/>
        <w:spacing w:before="0" w:beforeAutospacing="0" w:after="0" w:afterAutospacing="0" w:line="360" w:lineRule="auto"/>
        <w:ind w:left="0" w:leftChars="0" w:firstLine="482" w:firstLineChars="200"/>
        <w:jc w:val="left"/>
        <w:rPr>
          <w:rFonts w:hint="eastAsia" w:ascii="仿宋_GB2312" w:hAnsi="仿宋_GB2312" w:eastAsia="仿宋_GB2312" w:cs="仿宋_GB2312"/>
          <w:b/>
          <w:color w:val="auto"/>
          <w:sz w:val="24"/>
          <w:highlight w:val="none"/>
          <w:u w:val="none"/>
        </w:rPr>
      </w:pPr>
      <w:r>
        <w:rPr>
          <w:rFonts w:hint="eastAsia" w:ascii="仿宋_GB2312" w:hAnsi="仿宋_GB2312" w:eastAsia="仿宋_GB2312" w:cs="仿宋_GB2312"/>
          <w:b/>
          <w:color w:val="auto"/>
          <w:sz w:val="24"/>
          <w:highlight w:val="none"/>
          <w:u w:val="none"/>
        </w:rPr>
        <w:t>一档（</w:t>
      </w:r>
      <w:r>
        <w:rPr>
          <w:rFonts w:hint="default" w:ascii="仿宋_GB2312" w:hAnsi="仿宋_GB2312" w:eastAsia="仿宋_GB2312" w:cs="仿宋_GB2312"/>
          <w:b/>
          <w:color w:val="auto"/>
          <w:sz w:val="24"/>
          <w:highlight w:val="none"/>
          <w:u w:val="none"/>
        </w:rPr>
        <w:t>7</w:t>
      </w:r>
      <w:r>
        <w:rPr>
          <w:rFonts w:hint="eastAsia" w:ascii="仿宋_GB2312" w:hAnsi="仿宋_GB2312" w:eastAsia="仿宋_GB2312" w:cs="仿宋_GB2312"/>
          <w:b/>
          <w:color w:val="auto"/>
          <w:sz w:val="24"/>
          <w:highlight w:val="none"/>
          <w:u w:val="none"/>
        </w:rPr>
        <w:t>分）：</w:t>
      </w:r>
      <w:r>
        <w:rPr>
          <w:rFonts w:ascii="仿宋_GB2312" w:eastAsia="仿宋_GB2312" w:cs="仿宋_GB2312"/>
          <w:color w:val="auto"/>
          <w:sz w:val="24"/>
          <w:szCs w:val="24"/>
          <w:highlight w:val="none"/>
          <w:u w:val="none"/>
          <w:shd w:val="clear" w:fill="FFFFFF"/>
        </w:rPr>
        <w:t>有项目实施组织机构，具有合理的安装调试方法，制定运营管理制度，具有进度计划、项目实施管理文档计划，项目实施方案简单；</w:t>
      </w:r>
    </w:p>
    <w:p>
      <w:pPr>
        <w:pStyle w:val="15"/>
        <w:keepNext w:val="0"/>
        <w:keepLines w:val="0"/>
        <w:widowControl/>
        <w:suppressLineNumbers w:val="0"/>
        <w:snapToGrid w:val="0"/>
        <w:spacing w:before="0" w:beforeAutospacing="0" w:after="0" w:afterAutospacing="0" w:line="360" w:lineRule="auto"/>
        <w:ind w:left="0" w:leftChars="0" w:firstLine="482" w:firstLineChars="200"/>
        <w:jc w:val="left"/>
        <w:rPr>
          <w:rFonts w:hint="default" w:ascii="仿宋_GB2312" w:hAnsi="Times New Roman" w:eastAsia="仿宋_GB2312" w:cs="仿宋_GB2312"/>
          <w:b w:val="0"/>
          <w:color w:val="auto"/>
          <w:sz w:val="24"/>
          <w:highlight w:val="none"/>
          <w:u w:val="none"/>
          <w:shd w:val="clear" w:fill="FFFFFF"/>
        </w:rPr>
      </w:pPr>
      <w:r>
        <w:rPr>
          <w:rFonts w:hint="eastAsia" w:ascii="仿宋_GB2312" w:hAnsi="仿宋_GB2312" w:eastAsia="仿宋_GB2312" w:cs="仿宋_GB2312"/>
          <w:b/>
          <w:color w:val="auto"/>
          <w:sz w:val="24"/>
          <w:highlight w:val="none"/>
          <w:u w:val="none"/>
        </w:rPr>
        <w:t>二档（</w:t>
      </w:r>
      <w:r>
        <w:rPr>
          <w:rFonts w:hint="default" w:ascii="仿宋_GB2312" w:hAnsi="仿宋_GB2312" w:eastAsia="仿宋_GB2312" w:cs="仿宋_GB2312"/>
          <w:b/>
          <w:color w:val="auto"/>
          <w:sz w:val="24"/>
          <w:highlight w:val="none"/>
          <w:u w:val="none"/>
        </w:rPr>
        <w:t>14</w:t>
      </w:r>
      <w:r>
        <w:rPr>
          <w:rFonts w:hint="eastAsia" w:ascii="仿宋_GB2312" w:hAnsi="仿宋_GB2312" w:eastAsia="仿宋_GB2312" w:cs="仿宋_GB2312"/>
          <w:b/>
          <w:color w:val="auto"/>
          <w:sz w:val="24"/>
          <w:highlight w:val="none"/>
          <w:u w:val="none"/>
        </w:rPr>
        <w:t>分）：</w:t>
      </w:r>
      <w:r>
        <w:rPr>
          <w:rFonts w:ascii="仿宋_GB2312" w:eastAsia="仿宋_GB2312" w:cs="仿宋_GB2312"/>
          <w:color w:val="auto"/>
          <w:sz w:val="24"/>
          <w:szCs w:val="24"/>
          <w:highlight w:val="none"/>
          <w:u w:val="none"/>
          <w:shd w:val="clear" w:fill="FFFFFF"/>
        </w:rPr>
        <w:t>有项目实施组织机构，具有合理的安装调试方法，运营管理制度合理并符合规范要求，具有进度计划、项目实施管理文档计划、安全及质量保证措施，提供合理的应急处理方案，项目实施方案较详细，</w:t>
      </w:r>
      <w:r>
        <w:rPr>
          <w:rFonts w:hint="default" w:ascii="仿宋_GB2312" w:hAnsi="Times New Roman" w:eastAsia="仿宋_GB2312" w:cs="仿宋_GB2312"/>
          <w:b w:val="0"/>
          <w:color w:val="auto"/>
          <w:sz w:val="24"/>
          <w:highlight w:val="none"/>
          <w:u w:val="none"/>
          <w:shd w:val="clear" w:fill="FFFFFF"/>
        </w:rPr>
        <w:t>且投标人拟派的项目经理具备高级信息系统项目管理师证书。</w:t>
      </w:r>
    </w:p>
    <w:p>
      <w:pPr>
        <w:pStyle w:val="15"/>
        <w:keepNext w:val="0"/>
        <w:keepLines w:val="0"/>
        <w:widowControl/>
        <w:suppressLineNumbers w:val="0"/>
        <w:snapToGrid w:val="0"/>
        <w:spacing w:before="0" w:beforeAutospacing="0" w:after="0" w:afterAutospacing="0" w:line="360" w:lineRule="auto"/>
        <w:ind w:left="0" w:leftChars="0" w:firstLine="482" w:firstLineChars="200"/>
        <w:jc w:val="left"/>
        <w:rPr>
          <w:rFonts w:hint="default" w:ascii="仿宋_GB2312" w:hAnsi="Times New Roman" w:eastAsia="仿宋_GB2312" w:cs="仿宋_GB2312"/>
          <w:b w:val="0"/>
          <w:color w:val="auto"/>
          <w:sz w:val="24"/>
          <w:highlight w:val="none"/>
          <w:u w:val="none"/>
          <w:shd w:val="clear" w:fill="FFFFFF"/>
        </w:rPr>
      </w:pPr>
      <w:r>
        <w:rPr>
          <w:rFonts w:hint="eastAsia" w:ascii="仿宋_GB2312" w:hAnsi="仿宋_GB2312" w:eastAsia="仿宋_GB2312" w:cs="仿宋_GB2312"/>
          <w:b/>
          <w:color w:val="auto"/>
          <w:sz w:val="24"/>
          <w:highlight w:val="none"/>
          <w:u w:val="none"/>
        </w:rPr>
        <w:t>三档（</w:t>
      </w:r>
      <w:r>
        <w:rPr>
          <w:rFonts w:hint="default" w:ascii="仿宋_GB2312" w:hAnsi="仿宋_GB2312" w:eastAsia="仿宋_GB2312" w:cs="仿宋_GB2312"/>
          <w:b/>
          <w:color w:val="auto"/>
          <w:sz w:val="24"/>
          <w:highlight w:val="none"/>
          <w:u w:val="none"/>
        </w:rPr>
        <w:t>20</w:t>
      </w:r>
      <w:r>
        <w:rPr>
          <w:rFonts w:hint="eastAsia" w:ascii="仿宋_GB2312" w:hAnsi="仿宋_GB2312" w:eastAsia="仿宋_GB2312" w:cs="仿宋_GB2312"/>
          <w:b/>
          <w:color w:val="auto"/>
          <w:sz w:val="24"/>
          <w:highlight w:val="none"/>
          <w:u w:val="none"/>
        </w:rPr>
        <w:t>分）：</w:t>
      </w:r>
      <w:r>
        <w:rPr>
          <w:rFonts w:ascii="仿宋_GB2312" w:eastAsia="仿宋_GB2312" w:cs="仿宋_GB2312"/>
          <w:color w:val="auto"/>
          <w:sz w:val="24"/>
          <w:szCs w:val="24"/>
          <w:highlight w:val="none"/>
          <w:u w:val="none"/>
          <w:shd w:val="clear" w:fill="FFFFFF"/>
        </w:rPr>
        <w:t>有项目实施组织机构，具有合理的安装调试方法，运营管理制度科学合理、全面、规范，具有详细的进度计划、项目实施管理文档计划、安全及质量保证措施，提供完整的应急处理方案、有保障措施，项目实施方案阐述详细</w:t>
      </w:r>
      <w:r>
        <w:rPr>
          <w:rFonts w:hint="default" w:ascii="仿宋_GB2312" w:hAnsi="Times New Roman" w:eastAsia="仿宋_GB2312" w:cs="仿宋_GB2312"/>
          <w:b w:val="0"/>
          <w:color w:val="auto"/>
          <w:sz w:val="24"/>
          <w:highlight w:val="none"/>
          <w:u w:val="none"/>
          <w:shd w:val="clear" w:fill="FFFFFF"/>
        </w:rPr>
        <w:t>。投标人拟派的项目经理同时具备高级信息系统项目管理师证书及高级网络规划设计师证书，拟投入实施团队不少于3人，且团队成员中具备软件设计师证书、高级工程师证书、互联网技术工程师证书,同一人持有不同证书不予以重复计入。</w:t>
      </w:r>
    </w:p>
    <w:p>
      <w:pPr>
        <w:pStyle w:val="3"/>
        <w:snapToGrid w:val="0"/>
        <w:spacing w:after="0" w:line="360" w:lineRule="auto"/>
        <w:ind w:left="0" w:leftChars="0" w:firstLine="480" w:firstLineChars="200"/>
        <w:rPr>
          <w:rFonts w:hint="eastAsia" w:ascii="仿宋_GB2312" w:hAnsi="仿宋_GB2312" w:eastAsia="仿宋_GB2312" w:cs="仿宋_GB2312"/>
          <w:b w:val="0"/>
          <w:bCs/>
          <w:color w:val="auto"/>
          <w:sz w:val="24"/>
          <w:highlight w:val="none"/>
          <w:u w:val="none"/>
        </w:rPr>
      </w:pPr>
      <w:r>
        <w:rPr>
          <w:rFonts w:hint="eastAsia" w:ascii="仿宋_GB2312" w:hAnsi="仿宋_GB2312" w:eastAsia="仿宋_GB2312" w:cs="仿宋_GB2312"/>
          <w:b w:val="0"/>
          <w:bCs/>
          <w:color w:val="auto"/>
          <w:sz w:val="24"/>
          <w:highlight w:val="none"/>
          <w:u w:val="none"/>
        </w:rPr>
        <w:t>（投标时提供上述人员资质证书及投标人为其缴纳或关联企业为其代缴的一年内连续三个月的社保缴纳证明复印件并加盖投标人公章；属代缴情况时，还应提供相关人事管理及社保缴纳说明材料，否则不计入本档）</w:t>
      </w:r>
    </w:p>
    <w:p>
      <w:pPr>
        <w:pStyle w:val="3"/>
        <w:snapToGrid w:val="0"/>
        <w:spacing w:after="0" w:line="360" w:lineRule="auto"/>
        <w:ind w:left="0" w:leftChars="0" w:firstLine="480" w:firstLineChars="200"/>
        <w:rPr>
          <w:rFonts w:hint="eastAsia" w:ascii="仿宋_GB2312" w:hAnsi="仿宋_GB2312" w:eastAsia="仿宋_GB2312" w:cs="仿宋_GB2312"/>
          <w:b w:val="0"/>
          <w:bCs/>
          <w:color w:val="auto"/>
          <w:sz w:val="24"/>
          <w:highlight w:val="none"/>
          <w:u w:val="none"/>
        </w:rPr>
      </w:pPr>
      <w:r>
        <w:rPr>
          <w:rFonts w:hint="eastAsia" w:ascii="仿宋_GB2312" w:hAnsi="仿宋_GB2312" w:eastAsia="仿宋_GB2312" w:cs="仿宋_GB2312"/>
          <w:b w:val="0"/>
          <w:bCs/>
          <w:color w:val="auto"/>
          <w:sz w:val="24"/>
          <w:highlight w:val="none"/>
          <w:u w:val="none"/>
        </w:rPr>
        <w:t>不提供方案或不满足以上评分项的不得分。</w:t>
      </w:r>
    </w:p>
    <w:p>
      <w:pPr>
        <w:pStyle w:val="3"/>
        <w:snapToGrid w:val="0"/>
        <w:spacing w:after="0" w:line="360" w:lineRule="auto"/>
        <w:ind w:left="0" w:leftChars="0" w:firstLine="482" w:firstLineChars="200"/>
        <w:rPr>
          <w:rFonts w:hint="eastAsia" w:ascii="仿宋_GB2312" w:hAnsi="仿宋_GB2312" w:eastAsia="仿宋_GB2312" w:cs="仿宋_GB2312"/>
          <w:b/>
          <w:color w:val="auto"/>
          <w:sz w:val="24"/>
          <w:highlight w:val="none"/>
          <w:u w:val="none"/>
        </w:rPr>
      </w:pPr>
      <w:r>
        <w:rPr>
          <w:rFonts w:hint="eastAsia" w:ascii="仿宋_GB2312" w:hAnsi="仿宋_GB2312" w:eastAsia="仿宋_GB2312" w:cs="仿宋_GB2312"/>
          <w:b/>
          <w:color w:val="auto"/>
          <w:sz w:val="24"/>
          <w:highlight w:val="none"/>
          <w:u w:val="none"/>
        </w:rPr>
        <w:t>2.3售后服务方案分（满分20分）：</w:t>
      </w:r>
    </w:p>
    <w:p>
      <w:pPr>
        <w:pStyle w:val="15"/>
        <w:keepNext w:val="0"/>
        <w:keepLines w:val="0"/>
        <w:widowControl/>
        <w:suppressLineNumbers w:val="0"/>
        <w:spacing w:before="0" w:beforeAutospacing="0" w:after="0" w:afterAutospacing="0" w:line="360" w:lineRule="auto"/>
        <w:ind w:left="0" w:firstLine="480"/>
        <w:jc w:val="left"/>
        <w:rPr>
          <w:color w:val="auto"/>
          <w:highlight w:val="none"/>
          <w:u w:val="none"/>
        </w:rPr>
      </w:pPr>
      <w:r>
        <w:rPr>
          <w:rFonts w:ascii="仿宋_GB2312" w:eastAsia="仿宋_GB2312" w:cs="仿宋_GB2312"/>
          <w:color w:val="auto"/>
          <w:sz w:val="24"/>
          <w:szCs w:val="24"/>
          <w:highlight w:val="none"/>
          <w:u w:val="none"/>
          <w:shd w:val="clear" w:fill="FFFFFF"/>
        </w:rPr>
        <w:t>一档（7分）：售后服务方案基本满足招标文件要求，服务内容、保障措施简单，供应商为本项目提供的售后服务人员5人及以上。</w:t>
      </w:r>
    </w:p>
    <w:p>
      <w:pPr>
        <w:pStyle w:val="15"/>
        <w:keepNext w:val="0"/>
        <w:keepLines w:val="0"/>
        <w:widowControl/>
        <w:suppressLineNumbers w:val="0"/>
        <w:spacing w:before="0" w:beforeAutospacing="0" w:after="0" w:afterAutospacing="0" w:line="360" w:lineRule="auto"/>
        <w:ind w:left="0" w:firstLine="480"/>
        <w:jc w:val="left"/>
        <w:rPr>
          <w:color w:val="auto"/>
          <w:highlight w:val="none"/>
          <w:u w:val="none"/>
        </w:rPr>
      </w:pPr>
      <w:r>
        <w:rPr>
          <w:rFonts w:hint="default" w:ascii="仿宋_GB2312" w:eastAsia="仿宋_GB2312" w:cs="仿宋_GB2312"/>
          <w:color w:val="auto"/>
          <w:sz w:val="24"/>
          <w:szCs w:val="24"/>
          <w:highlight w:val="none"/>
          <w:u w:val="none"/>
          <w:shd w:val="clear" w:fill="FFFFFF"/>
        </w:rPr>
        <w:t>二档（13分）：售后服务方案比较细致、合理、可行，保障投标措施较详细，投标人为本项目提供的售后服务人员10人及以上。</w:t>
      </w:r>
    </w:p>
    <w:p>
      <w:pPr>
        <w:pStyle w:val="15"/>
        <w:widowControl/>
        <w:spacing w:beforeAutospacing="0" w:afterAutospacing="0" w:line="360" w:lineRule="auto"/>
        <w:ind w:firstLine="480"/>
        <w:rPr>
          <w:rFonts w:hint="default" w:ascii="仿宋_GB2312" w:hAnsi="Times New Roman" w:eastAsia="仿宋_GB2312" w:cs="仿宋_GB2312"/>
          <w:b w:val="0"/>
          <w:bCs w:val="0"/>
          <w:color w:val="auto"/>
          <w:sz w:val="24"/>
          <w:highlight w:val="none"/>
          <w:u w:val="none"/>
          <w:shd w:val="clear" w:fill="FFFFFF"/>
        </w:rPr>
      </w:pPr>
      <w:r>
        <w:rPr>
          <w:rFonts w:hint="default" w:ascii="仿宋_GB2312" w:eastAsia="仿宋_GB2312" w:cs="仿宋_GB2312"/>
          <w:color w:val="auto"/>
          <w:sz w:val="24"/>
          <w:szCs w:val="24"/>
          <w:highlight w:val="none"/>
          <w:u w:val="none"/>
          <w:shd w:val="clear" w:fill="FFFFFF"/>
        </w:rPr>
        <w:t>三档（20分）：售后服务方案细致、合理、可行，保障投标措施详细，服务经验丰富。有完整的售后服务组织架构、售后服务流程、应急预案、人员补齐方案，投标人为本项目提供的售后服务人员15人及以上。</w:t>
      </w:r>
    </w:p>
    <w:p>
      <w:pPr>
        <w:tabs>
          <w:tab w:val="left" w:pos="540"/>
        </w:tabs>
        <w:topLinePunct/>
        <w:snapToGrid w:val="0"/>
        <w:spacing w:line="360" w:lineRule="auto"/>
        <w:ind w:firstLine="480" w:firstLineChars="200"/>
        <w:jc w:val="left"/>
        <w:rPr>
          <w:rFonts w:hint="eastAsia" w:ascii="仿宋_GB2312" w:hAnsi="仿宋_GB2312" w:eastAsia="仿宋_GB2312" w:cs="仿宋_GB2312"/>
          <w:b/>
          <w:bCs/>
          <w:color w:val="auto"/>
          <w:sz w:val="24"/>
          <w:highlight w:val="none"/>
          <w:u w:val="none"/>
        </w:rPr>
      </w:pPr>
      <w:r>
        <w:rPr>
          <w:rFonts w:hint="eastAsia" w:ascii="仿宋_GB2312" w:hAnsi="仿宋_GB2312" w:eastAsia="仿宋_GB2312" w:cs="仿宋_GB2312"/>
          <w:b w:val="0"/>
          <w:bCs w:val="0"/>
          <w:color w:val="auto"/>
          <w:sz w:val="24"/>
          <w:highlight w:val="none"/>
          <w:u w:val="none"/>
        </w:rPr>
        <w:t>不提供方案或不满足以上评分项的不得分。</w:t>
      </w:r>
    </w:p>
    <w:p>
      <w:pPr>
        <w:tabs>
          <w:tab w:val="left" w:pos="540"/>
        </w:tabs>
        <w:topLinePunct/>
        <w:snapToGrid w:val="0"/>
        <w:spacing w:line="360" w:lineRule="auto"/>
        <w:ind w:firstLine="482" w:firstLineChars="200"/>
        <w:jc w:val="left"/>
        <w:rPr>
          <w:rFonts w:hint="eastAsia" w:ascii="仿宋_GB2312" w:hAnsi="仿宋_GB2312" w:eastAsia="仿宋_GB2312" w:cs="仿宋_GB2312"/>
          <w:b/>
          <w:bCs/>
          <w:color w:val="auto"/>
          <w:sz w:val="24"/>
          <w:highlight w:val="none"/>
          <w:u w:val="none"/>
        </w:rPr>
      </w:pPr>
      <w:r>
        <w:rPr>
          <w:rFonts w:hint="eastAsia" w:ascii="仿宋_GB2312" w:hAnsi="仿宋_GB2312" w:eastAsia="仿宋_GB2312" w:cs="仿宋_GB2312"/>
          <w:b/>
          <w:bCs/>
          <w:color w:val="auto"/>
          <w:sz w:val="24"/>
          <w:highlight w:val="none"/>
          <w:u w:val="none"/>
        </w:rPr>
        <w:t>3、商务分…………………………………………………………</w:t>
      </w:r>
      <w:r>
        <w:rPr>
          <w:rFonts w:hint="eastAsia" w:ascii="仿宋_GB2312" w:hAnsi="仿宋_GB2312" w:eastAsia="仿宋_GB2312" w:cs="仿宋_GB2312"/>
          <w:b/>
          <w:color w:val="auto"/>
          <w:sz w:val="24"/>
          <w:highlight w:val="none"/>
          <w:u w:val="none"/>
        </w:rPr>
        <w:t>………</w:t>
      </w:r>
      <w:r>
        <w:rPr>
          <w:rFonts w:hint="eastAsia" w:ascii="仿宋_GB2312" w:hAnsi="仿宋_GB2312" w:eastAsia="仿宋_GB2312" w:cs="仿宋_GB2312"/>
          <w:b/>
          <w:bCs/>
          <w:color w:val="auto"/>
          <w:sz w:val="24"/>
          <w:highlight w:val="none"/>
          <w:u w:val="none"/>
        </w:rPr>
        <w:t>…………25分</w:t>
      </w:r>
    </w:p>
    <w:p>
      <w:pPr>
        <w:pStyle w:val="14"/>
        <w:snapToGrid w:val="0"/>
        <w:spacing w:before="0" w:after="0" w:line="360" w:lineRule="auto"/>
        <w:ind w:firstLine="480" w:firstLineChars="200"/>
        <w:jc w:val="both"/>
        <w:rPr>
          <w:rFonts w:hint="eastAsia" w:ascii="仿宋_GB2312" w:hAnsi="仿宋_GB2312" w:eastAsia="仿宋_GB2312" w:cs="仿宋_GB2312"/>
          <w:b w:val="0"/>
          <w:bCs w:val="0"/>
          <w:caps w:val="0"/>
          <w:color w:val="auto"/>
          <w:highlight w:val="none"/>
          <w:u w:val="none"/>
        </w:rPr>
      </w:pPr>
      <w:r>
        <w:rPr>
          <w:rFonts w:hint="eastAsia" w:ascii="仿宋_GB2312" w:hAnsi="仿宋_GB2312" w:eastAsia="仿宋_GB2312" w:cs="仿宋_GB2312"/>
          <w:b w:val="0"/>
          <w:bCs w:val="0"/>
          <w:caps w:val="0"/>
          <w:color w:val="auto"/>
          <w:highlight w:val="none"/>
          <w:u w:val="none"/>
        </w:rPr>
        <w:t>（1）供应商有同类客服案例，一个项目得</w:t>
      </w:r>
      <w:r>
        <w:rPr>
          <w:rFonts w:hint="default" w:ascii="仿宋_GB2312" w:hAnsi="仿宋_GB2312" w:eastAsia="仿宋_GB2312" w:cs="仿宋_GB2312"/>
          <w:b w:val="0"/>
          <w:bCs w:val="0"/>
          <w:caps w:val="0"/>
          <w:color w:val="auto"/>
          <w:highlight w:val="none"/>
          <w:u w:val="none"/>
        </w:rPr>
        <w:t>1</w:t>
      </w:r>
      <w:r>
        <w:rPr>
          <w:rFonts w:hint="eastAsia" w:ascii="仿宋_GB2312" w:hAnsi="仿宋_GB2312" w:eastAsia="仿宋_GB2312" w:cs="仿宋_GB2312"/>
          <w:b w:val="0"/>
          <w:bCs w:val="0"/>
          <w:caps w:val="0"/>
          <w:color w:val="auto"/>
          <w:highlight w:val="none"/>
          <w:u w:val="none"/>
        </w:rPr>
        <w:t>分，满分</w:t>
      </w:r>
      <w:r>
        <w:rPr>
          <w:rFonts w:hint="default" w:ascii="仿宋_GB2312" w:hAnsi="仿宋_GB2312" w:eastAsia="仿宋_GB2312" w:cs="仿宋_GB2312"/>
          <w:b w:val="0"/>
          <w:bCs w:val="0"/>
          <w:caps w:val="0"/>
          <w:color w:val="auto"/>
          <w:highlight w:val="none"/>
          <w:u w:val="none"/>
        </w:rPr>
        <w:t>2</w:t>
      </w:r>
      <w:r>
        <w:rPr>
          <w:rFonts w:hint="eastAsia" w:ascii="仿宋_GB2312" w:hAnsi="仿宋_GB2312" w:eastAsia="仿宋_GB2312" w:cs="仿宋_GB2312"/>
          <w:b w:val="0"/>
          <w:bCs w:val="0"/>
          <w:caps w:val="0"/>
          <w:color w:val="auto"/>
          <w:highlight w:val="none"/>
          <w:u w:val="none"/>
        </w:rPr>
        <w:t>分，需提供合同复印件或项目中标通知书复印件加盖供应商公章，否则不得分。（满分</w:t>
      </w:r>
      <w:r>
        <w:rPr>
          <w:rFonts w:hint="default" w:ascii="仿宋_GB2312" w:hAnsi="仿宋_GB2312" w:eastAsia="仿宋_GB2312" w:cs="仿宋_GB2312"/>
          <w:b w:val="0"/>
          <w:bCs w:val="0"/>
          <w:caps w:val="0"/>
          <w:color w:val="auto"/>
          <w:highlight w:val="none"/>
          <w:u w:val="none"/>
        </w:rPr>
        <w:t>2</w:t>
      </w:r>
      <w:r>
        <w:rPr>
          <w:rFonts w:hint="eastAsia" w:ascii="仿宋_GB2312" w:hAnsi="仿宋_GB2312" w:eastAsia="仿宋_GB2312" w:cs="仿宋_GB2312"/>
          <w:b w:val="0"/>
          <w:bCs w:val="0"/>
          <w:caps w:val="0"/>
          <w:color w:val="auto"/>
          <w:highlight w:val="none"/>
          <w:u w:val="none"/>
        </w:rPr>
        <w:t>分）。</w:t>
      </w:r>
    </w:p>
    <w:p>
      <w:pPr>
        <w:pStyle w:val="14"/>
        <w:snapToGrid w:val="0"/>
        <w:spacing w:before="0" w:after="0" w:line="360" w:lineRule="auto"/>
        <w:ind w:firstLine="480" w:firstLineChars="200"/>
        <w:jc w:val="both"/>
        <w:rPr>
          <w:rFonts w:hint="eastAsia" w:ascii="仿宋_GB2312" w:hAnsi="仿宋_GB2312" w:eastAsia="仿宋_GB2312" w:cs="仿宋_GB2312"/>
          <w:b w:val="0"/>
          <w:bCs w:val="0"/>
          <w:caps w:val="0"/>
          <w:color w:val="auto"/>
          <w:highlight w:val="none"/>
          <w:u w:val="none"/>
        </w:rPr>
      </w:pPr>
      <w:r>
        <w:rPr>
          <w:rFonts w:hint="eastAsia" w:ascii="仿宋_GB2312" w:hAnsi="仿宋_GB2312" w:eastAsia="仿宋_GB2312" w:cs="仿宋_GB2312"/>
          <w:b w:val="0"/>
          <w:bCs w:val="0"/>
          <w:caps w:val="0"/>
          <w:color w:val="auto"/>
          <w:highlight w:val="none"/>
          <w:u w:val="none"/>
        </w:rPr>
        <w:t>（2）投标人或其上级机构通过ISO9001质量管理体系认证、ISO27001信息安全管理体系认证、ISO20000信息技术服务管理体系认证、ISO14001环境管理体系认证、职业健康安全管理体系认证的，每项得</w:t>
      </w:r>
      <w:r>
        <w:rPr>
          <w:rFonts w:hint="default" w:ascii="仿宋_GB2312" w:hAnsi="仿宋_GB2312" w:eastAsia="仿宋_GB2312" w:cs="仿宋_GB2312"/>
          <w:b w:val="0"/>
          <w:bCs w:val="0"/>
          <w:caps w:val="0"/>
          <w:color w:val="auto"/>
          <w:highlight w:val="none"/>
          <w:u w:val="none"/>
        </w:rPr>
        <w:t>2</w:t>
      </w:r>
      <w:r>
        <w:rPr>
          <w:rFonts w:hint="eastAsia" w:ascii="仿宋_GB2312" w:hAnsi="仿宋_GB2312" w:eastAsia="仿宋_GB2312" w:cs="仿宋_GB2312"/>
          <w:b w:val="0"/>
          <w:bCs w:val="0"/>
          <w:caps w:val="0"/>
          <w:color w:val="auto"/>
          <w:highlight w:val="none"/>
          <w:u w:val="none"/>
        </w:rPr>
        <w:t>分</w:t>
      </w:r>
      <w:r>
        <w:rPr>
          <w:rFonts w:hint="eastAsia" w:ascii="仿宋_GB2312" w:hAnsi="仿宋_GB2312" w:eastAsia="仿宋_GB2312" w:cs="仿宋_GB2312"/>
          <w:b w:val="0"/>
          <w:bCs w:val="0"/>
          <w:caps w:val="0"/>
          <w:color w:val="auto"/>
          <w:highlight w:val="none"/>
          <w:u w:val="none"/>
          <w:lang w:eastAsia="zh-CN"/>
        </w:rPr>
        <w:t>。</w:t>
      </w:r>
      <w:r>
        <w:rPr>
          <w:rFonts w:hint="eastAsia" w:ascii="仿宋_GB2312" w:hAnsi="仿宋_GB2312" w:eastAsia="仿宋_GB2312" w:cs="仿宋_GB2312"/>
          <w:b w:val="0"/>
          <w:bCs w:val="0"/>
          <w:caps w:val="0"/>
          <w:color w:val="auto"/>
          <w:highlight w:val="none"/>
          <w:u w:val="none"/>
        </w:rPr>
        <w:t>（满分</w:t>
      </w:r>
      <w:r>
        <w:rPr>
          <w:rFonts w:hint="default" w:ascii="仿宋_GB2312" w:hAnsi="仿宋_GB2312" w:eastAsia="仿宋_GB2312" w:cs="仿宋_GB2312"/>
          <w:b w:val="0"/>
          <w:bCs w:val="0"/>
          <w:caps w:val="0"/>
          <w:color w:val="auto"/>
          <w:highlight w:val="none"/>
          <w:u w:val="none"/>
        </w:rPr>
        <w:t>10</w:t>
      </w:r>
      <w:r>
        <w:rPr>
          <w:rFonts w:hint="eastAsia" w:ascii="仿宋_GB2312" w:hAnsi="仿宋_GB2312" w:eastAsia="仿宋_GB2312" w:cs="仿宋_GB2312"/>
          <w:b w:val="0"/>
          <w:bCs w:val="0"/>
          <w:caps w:val="0"/>
          <w:color w:val="auto"/>
          <w:highlight w:val="none"/>
          <w:u w:val="none"/>
        </w:rPr>
        <w:t>分）</w:t>
      </w:r>
    </w:p>
    <w:p>
      <w:pPr>
        <w:pStyle w:val="14"/>
        <w:snapToGrid w:val="0"/>
        <w:spacing w:before="0" w:after="0" w:line="360" w:lineRule="auto"/>
        <w:ind w:firstLine="480" w:firstLineChars="200"/>
        <w:jc w:val="both"/>
        <w:rPr>
          <w:rFonts w:hint="eastAsia" w:ascii="仿宋_GB2312" w:hAnsi="仿宋_GB2312" w:eastAsia="仿宋_GB2312" w:cs="仿宋_GB2312"/>
          <w:b w:val="0"/>
          <w:bCs w:val="0"/>
          <w:caps w:val="0"/>
          <w:color w:val="auto"/>
          <w:highlight w:val="none"/>
          <w:u w:val="none"/>
        </w:rPr>
      </w:pPr>
      <w:r>
        <w:rPr>
          <w:rFonts w:hint="eastAsia" w:ascii="仿宋_GB2312" w:hAnsi="仿宋_GB2312" w:eastAsia="仿宋_GB2312" w:cs="仿宋_GB2312"/>
          <w:b w:val="0"/>
          <w:bCs w:val="0"/>
          <w:caps w:val="0"/>
          <w:color w:val="auto"/>
          <w:highlight w:val="none"/>
          <w:u w:val="none"/>
        </w:rPr>
        <w:t>（3）投标人2022以来连续两个季度广西区内电信用户申诉量小于800件的得</w:t>
      </w:r>
      <w:r>
        <w:rPr>
          <w:rFonts w:hint="default" w:ascii="仿宋_GB2312" w:hAnsi="仿宋_GB2312" w:eastAsia="仿宋_GB2312" w:cs="仿宋_GB2312"/>
          <w:b w:val="0"/>
          <w:bCs w:val="0"/>
          <w:caps w:val="0"/>
          <w:color w:val="auto"/>
          <w:highlight w:val="none"/>
          <w:u w:val="none"/>
        </w:rPr>
        <w:t>3</w:t>
      </w:r>
      <w:r>
        <w:rPr>
          <w:rFonts w:hint="eastAsia" w:ascii="仿宋_GB2312" w:hAnsi="仿宋_GB2312" w:eastAsia="仿宋_GB2312" w:cs="仿宋_GB2312"/>
          <w:b w:val="0"/>
          <w:bCs w:val="0"/>
          <w:caps w:val="0"/>
          <w:color w:val="auto"/>
          <w:highlight w:val="none"/>
          <w:u w:val="none"/>
        </w:rPr>
        <w:t>分，小于500件的得</w:t>
      </w:r>
      <w:r>
        <w:rPr>
          <w:rFonts w:hint="default" w:ascii="仿宋_GB2312" w:hAnsi="仿宋_GB2312" w:eastAsia="仿宋_GB2312" w:cs="仿宋_GB2312"/>
          <w:b w:val="0"/>
          <w:bCs w:val="0"/>
          <w:caps w:val="0"/>
          <w:color w:val="auto"/>
          <w:highlight w:val="none"/>
          <w:u w:val="none"/>
        </w:rPr>
        <w:t>5</w:t>
      </w:r>
      <w:r>
        <w:rPr>
          <w:rFonts w:hint="eastAsia" w:ascii="仿宋_GB2312" w:hAnsi="仿宋_GB2312" w:eastAsia="仿宋_GB2312" w:cs="仿宋_GB2312"/>
          <w:b w:val="0"/>
          <w:bCs w:val="0"/>
          <w:caps w:val="0"/>
          <w:color w:val="auto"/>
          <w:highlight w:val="none"/>
          <w:u w:val="none"/>
        </w:rPr>
        <w:t>分，小于300件的得</w:t>
      </w:r>
      <w:r>
        <w:rPr>
          <w:rFonts w:hint="default" w:ascii="仿宋_GB2312" w:hAnsi="仿宋_GB2312" w:eastAsia="仿宋_GB2312" w:cs="仿宋_GB2312"/>
          <w:b w:val="0"/>
          <w:bCs w:val="0"/>
          <w:caps w:val="0"/>
          <w:color w:val="auto"/>
          <w:highlight w:val="none"/>
          <w:u w:val="none"/>
        </w:rPr>
        <w:t>7</w:t>
      </w:r>
      <w:r>
        <w:rPr>
          <w:rFonts w:hint="eastAsia" w:ascii="仿宋_GB2312" w:hAnsi="仿宋_GB2312" w:eastAsia="仿宋_GB2312" w:cs="仿宋_GB2312"/>
          <w:b w:val="0"/>
          <w:bCs w:val="0"/>
          <w:caps w:val="0"/>
          <w:color w:val="auto"/>
          <w:highlight w:val="none"/>
          <w:u w:val="none"/>
        </w:rPr>
        <w:t>分（提供广西壮族自治区通信管理局官网截图，并加盖投标人公章）。（满分</w:t>
      </w:r>
      <w:r>
        <w:rPr>
          <w:rFonts w:hint="default" w:ascii="仿宋_GB2312" w:hAnsi="仿宋_GB2312" w:eastAsia="仿宋_GB2312" w:cs="仿宋_GB2312"/>
          <w:b w:val="0"/>
          <w:bCs w:val="0"/>
          <w:caps w:val="0"/>
          <w:color w:val="auto"/>
          <w:highlight w:val="none"/>
          <w:u w:val="none"/>
        </w:rPr>
        <w:t>7</w:t>
      </w:r>
      <w:r>
        <w:rPr>
          <w:rFonts w:hint="eastAsia" w:ascii="仿宋_GB2312" w:hAnsi="仿宋_GB2312" w:eastAsia="仿宋_GB2312" w:cs="仿宋_GB2312"/>
          <w:b w:val="0"/>
          <w:bCs w:val="0"/>
          <w:caps w:val="0"/>
          <w:color w:val="auto"/>
          <w:highlight w:val="none"/>
          <w:u w:val="none"/>
        </w:rPr>
        <w:t>分）</w:t>
      </w:r>
    </w:p>
    <w:p>
      <w:pPr>
        <w:pStyle w:val="14"/>
        <w:snapToGrid w:val="0"/>
        <w:spacing w:before="0" w:after="0" w:line="360" w:lineRule="auto"/>
        <w:ind w:firstLine="480" w:firstLineChars="200"/>
        <w:jc w:val="both"/>
        <w:rPr>
          <w:rFonts w:hint="default" w:ascii="仿宋_GB2312" w:hAnsi="仿宋_GB2312" w:eastAsia="仿宋_GB2312" w:cs="仿宋_GB2312"/>
          <w:b w:val="0"/>
          <w:bCs w:val="0"/>
          <w:caps w:val="0"/>
          <w:color w:val="auto"/>
          <w:highlight w:val="none"/>
          <w:u w:val="none"/>
        </w:rPr>
      </w:pPr>
      <w:r>
        <w:rPr>
          <w:rFonts w:hint="eastAsia" w:ascii="仿宋_GB2312" w:hAnsi="仿宋_GB2312" w:eastAsia="仿宋_GB2312" w:cs="仿宋_GB2312"/>
          <w:b w:val="0"/>
          <w:bCs w:val="0"/>
          <w:caps w:val="0"/>
          <w:color w:val="auto"/>
          <w:highlight w:val="none"/>
          <w:u w:val="none"/>
        </w:rPr>
        <w:t>（4）投标人拟投入的项目经理具备信息系统项目管理师证书、网络规划设计师证书以及网络工程师中级或以上。</w:t>
      </w:r>
      <w:r>
        <w:rPr>
          <w:rFonts w:hint="default" w:ascii="仿宋_GB2312" w:hAnsi="仿宋_GB2312" w:eastAsia="仿宋_GB2312" w:cs="仿宋_GB2312"/>
          <w:b w:val="0"/>
          <w:bCs w:val="0"/>
          <w:caps w:val="0"/>
          <w:color w:val="auto"/>
          <w:highlight w:val="none"/>
          <w:u w:val="none"/>
        </w:rPr>
        <w:t>（</w:t>
      </w:r>
      <w:r>
        <w:rPr>
          <w:rFonts w:hint="eastAsia" w:ascii="仿宋_GB2312" w:hAnsi="仿宋_GB2312" w:eastAsia="仿宋_GB2312" w:cs="仿宋_GB2312"/>
          <w:b w:val="0"/>
          <w:bCs w:val="0"/>
          <w:caps w:val="0"/>
          <w:color w:val="auto"/>
          <w:highlight w:val="none"/>
          <w:u w:val="none"/>
        </w:rPr>
        <w:t>满分6分</w:t>
      </w:r>
      <w:r>
        <w:rPr>
          <w:rFonts w:hint="default" w:ascii="仿宋_GB2312" w:hAnsi="仿宋_GB2312" w:eastAsia="仿宋_GB2312" w:cs="仿宋_GB2312"/>
          <w:b w:val="0"/>
          <w:bCs w:val="0"/>
          <w:caps w:val="0"/>
          <w:color w:val="auto"/>
          <w:highlight w:val="none"/>
          <w:u w:val="none"/>
        </w:rPr>
        <w:t>）</w:t>
      </w:r>
    </w:p>
    <w:p>
      <w:pPr>
        <w:pStyle w:val="14"/>
        <w:snapToGrid w:val="0"/>
        <w:spacing w:before="0" w:after="0" w:line="360" w:lineRule="auto"/>
        <w:ind w:firstLine="480" w:firstLineChars="200"/>
        <w:jc w:val="both"/>
        <w:rPr>
          <w:rFonts w:hint="eastAsia" w:ascii="仿宋_GB2312" w:hAnsi="仿宋_GB2312" w:eastAsia="仿宋_GB2312" w:cs="仿宋_GB2312"/>
          <w:b w:val="0"/>
          <w:bCs w:val="0"/>
          <w:caps w:val="0"/>
          <w:color w:val="auto"/>
          <w:highlight w:val="none"/>
          <w:u w:val="none"/>
        </w:rPr>
      </w:pPr>
      <w:r>
        <w:rPr>
          <w:rFonts w:hint="eastAsia" w:ascii="仿宋_GB2312" w:hAnsi="仿宋_GB2312" w:eastAsia="仿宋_GB2312" w:cs="仿宋_GB2312"/>
          <w:b w:val="0"/>
          <w:bCs w:val="0"/>
          <w:caps w:val="0"/>
          <w:color w:val="auto"/>
          <w:highlight w:val="none"/>
          <w:u w:val="none"/>
        </w:rPr>
        <w:t>（持证人员提供证书扫描件和投标截止时间前半年内连续三个月投标人为其缴纳社保证明）。</w:t>
      </w:r>
    </w:p>
    <w:p>
      <w:pPr>
        <w:pStyle w:val="6"/>
        <w:snapToGrid w:val="0"/>
        <w:spacing w:after="0" w:line="360" w:lineRule="auto"/>
        <w:rPr>
          <w:rFonts w:hint="eastAsia" w:ascii="仿宋_GB2312" w:hAnsi="仿宋_GB2312" w:eastAsia="仿宋_GB2312" w:cs="仿宋_GB2312"/>
          <w:bCs/>
          <w:color w:val="auto"/>
          <w:sz w:val="24"/>
          <w:highlight w:val="none"/>
          <w:u w:val="none"/>
        </w:rPr>
      </w:pPr>
      <w:r>
        <w:rPr>
          <w:rFonts w:hint="default" w:ascii="仿宋_GB2312" w:hAnsi="仿宋_GB2312" w:eastAsia="仿宋_GB2312" w:cs="仿宋_GB2312"/>
          <w:bCs/>
          <w:color w:val="auto"/>
          <w:sz w:val="24"/>
          <w:highlight w:val="none"/>
          <w:u w:val="none"/>
        </w:rPr>
        <w:t xml:space="preserve">    </w:t>
      </w:r>
      <w:r>
        <w:rPr>
          <w:rFonts w:hint="eastAsia" w:ascii="仿宋_GB2312" w:hAnsi="仿宋_GB2312" w:eastAsia="仿宋_GB2312" w:cs="仿宋_GB2312"/>
          <w:bCs/>
          <w:color w:val="auto"/>
          <w:sz w:val="24"/>
          <w:highlight w:val="none"/>
          <w:u w:val="none"/>
        </w:rPr>
        <w:t xml:space="preserve">（5）投标人在截标日前1年内在政府采购活动中存在违约违规情形的（以财政部门出具的书面材料为评分依据），每次扣除3分，最高扣分6分。  </w:t>
      </w:r>
    </w:p>
    <w:p>
      <w:pPr>
        <w:autoSpaceDE w:val="0"/>
        <w:autoSpaceDN w:val="0"/>
        <w:adjustRightInd w:val="0"/>
        <w:snapToGrid w:val="0"/>
        <w:spacing w:line="360" w:lineRule="auto"/>
        <w:ind w:firstLine="482"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rPr>
        <w:t>（四）总得分=1+2+3。</w:t>
      </w:r>
    </w:p>
    <w:p>
      <w:pPr>
        <w:pStyle w:val="10"/>
        <w:snapToGrid w:val="0"/>
        <w:spacing w:line="360" w:lineRule="auto"/>
        <w:ind w:firstLine="482" w:firstLineChars="200"/>
        <w:jc w:val="left"/>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三、中标候选人推荐原则</w:t>
      </w:r>
    </w:p>
    <w:p>
      <w:pPr>
        <w:snapToGrid w:val="0"/>
        <w:spacing w:line="360" w:lineRule="auto"/>
        <w:ind w:firstLine="480" w:firstLineChars="200"/>
        <w:jc w:val="left"/>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1）磋商小组将根据得分由高到低排列次序并推荐三名成交候选供应商，并编写评审报告。磋商小组根据综合得分由高到低排列次序，若得分相同时，以评审报价（最后报价及享受政府采购政策的优惠扣除）由低到高顺序排列；若得分相同且评审报价相同的，以磋商报价由低到高顺序排列；若仍相同时，按售后服务分由高到低顺序排列并推荐成交候选供应商。若仍相同时，则由磋商小组集体讨论确定。</w:t>
      </w:r>
    </w:p>
    <w:p>
      <w:pPr>
        <w:snapToGrid w:val="0"/>
        <w:spacing w:line="360" w:lineRule="auto"/>
        <w:ind w:firstLine="480" w:firstLineChars="200"/>
        <w:jc w:val="left"/>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（2）采购方应当确定磋商小组推荐排名第一的供应商为成交供应商。</w:t>
      </w:r>
    </w:p>
    <w:p>
      <w:pPr>
        <w:snapToGrid w:val="0"/>
        <w:spacing w:line="360" w:lineRule="auto"/>
        <w:ind w:firstLine="480" w:firstLineChars="200"/>
        <w:jc w:val="left"/>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3）排名第一的成交候选人放弃成交、因不可抗力提出不能履行合同，或信用信息查询不合格，或者磋商文件规定应当提交履约保证金而在规定的期限内未能提交的，采购方可以确定排名第二的成交候选人为成交供应商，采购方也可以决定重新采购。</w:t>
      </w:r>
    </w:p>
    <w:p>
      <w:pPr>
        <w:snapToGrid w:val="0"/>
        <w:spacing w:line="360"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bCs/>
          <w:color w:val="auto"/>
          <w:sz w:val="24"/>
          <w:highlight w:val="none"/>
        </w:rPr>
        <w:t>（4）第二成交候选人因前款规定的同样原因不能签订合同的，采购方可以确定排名第三的成交候选人为成交供应商，采购方也可以决定重新采购。</w:t>
      </w:r>
    </w:p>
    <w:p>
      <w:pPr>
        <w:rPr>
          <w:rFonts w:hint="eastAsia"/>
          <w:color w:val="auto"/>
          <w:highlight w:val="none"/>
        </w:rPr>
      </w:pPr>
    </w:p>
    <w:p>
      <w:pPr>
        <w:rPr>
          <w:rFonts w:hint="eastAsia"/>
          <w:color w:val="auto"/>
          <w:highlight w:val="none"/>
        </w:rPr>
      </w:pPr>
    </w:p>
    <w:p>
      <w:pPr>
        <w:outlineLvl w:val="9"/>
        <w:rPr>
          <w:rFonts w:hint="eastAsia" w:hAnsi="宋体"/>
          <w:color w:val="auto"/>
          <w:szCs w:val="21"/>
          <w:highlight w:val="none"/>
        </w:rPr>
        <w:sectPr>
          <w:footerReference r:id="rId13" w:type="default"/>
          <w:pgSz w:w="11906" w:h="16838"/>
          <w:pgMar w:top="1418" w:right="1418" w:bottom="1418" w:left="1418" w:header="851" w:footer="992" w:gutter="0"/>
          <w:pgNumType w:fmt="decimal"/>
          <w:cols w:space="720" w:num="1"/>
          <w:docGrid w:type="lines" w:linePitch="312" w:charSpace="0"/>
        </w:sectPr>
      </w:pPr>
      <w:bookmarkStart w:id="23" w:name="_Toc24295"/>
    </w:p>
    <w:p>
      <w:pPr>
        <w:pStyle w:val="7"/>
        <w:widowControl/>
        <w:jc w:val="center"/>
        <w:outlineLvl w:val="0"/>
        <w:rPr>
          <w:rFonts w:hint="eastAsia" w:ascii="仿宋_GB2312" w:hAnsi="仿宋_GB2312" w:eastAsia="仿宋_GB2312" w:cs="仿宋_GB2312"/>
          <w:bCs/>
          <w:color w:val="auto"/>
          <w:kern w:val="2"/>
          <w:highlight w:val="none"/>
          <w:lang w:bidi="ar"/>
        </w:rPr>
      </w:pPr>
      <w:bookmarkStart w:id="24" w:name="_Toc14011"/>
      <w:r>
        <w:rPr>
          <w:rFonts w:hint="eastAsia" w:ascii="宋体" w:hAnsi="宋体" w:eastAsia="宋体" w:cs="宋体"/>
          <w:bCs/>
          <w:color w:val="auto"/>
          <w:highlight w:val="none"/>
        </w:rPr>
        <w:t>第五章  合同格式</w:t>
      </w:r>
      <w:bookmarkEnd w:id="24"/>
      <w:r>
        <w:rPr>
          <w:rFonts w:hint="eastAsia" w:ascii="仿宋_GB2312" w:hAnsi="仿宋_GB2312" w:eastAsia="仿宋_GB2312" w:cs="仿宋_GB2312"/>
          <w:bCs/>
          <w:color w:val="auto"/>
          <w:kern w:val="2"/>
          <w:highlight w:val="none"/>
          <w:lang w:bidi="ar"/>
        </w:rPr>
        <w:t xml:space="preserve"> </w:t>
      </w:r>
    </w:p>
    <w:p>
      <w:pPr>
        <w:jc w:val="center"/>
        <w:rPr>
          <w:rFonts w:hint="eastAsia" w:ascii="华文中宋" w:hAnsi="华文中宋" w:eastAsia="华文中宋" w:cs="华文中宋"/>
          <w:b/>
          <w:bCs/>
          <w:color w:val="auto"/>
          <w:sz w:val="44"/>
          <w:szCs w:val="44"/>
        </w:rPr>
      </w:pPr>
      <w:r>
        <w:rPr>
          <w:rFonts w:hint="eastAsia" w:ascii="华文中宋" w:hAnsi="华文中宋" w:eastAsia="华文中宋" w:cs="华文中宋"/>
          <w:b/>
          <w:bCs/>
          <w:color w:val="auto"/>
          <w:sz w:val="44"/>
          <w:szCs w:val="44"/>
        </w:rPr>
        <w:t>客服热线系统及坐席话务服务合同</w:t>
      </w:r>
    </w:p>
    <w:p>
      <w:pPr>
        <w:jc w:val="center"/>
        <w:rPr>
          <w:rFonts w:hint="eastAsia" w:ascii="宋体" w:hAnsi="宋体" w:eastAsia="宋体" w:cs="宋体"/>
          <w:b/>
          <w:bCs/>
          <w:color w:val="auto"/>
          <w:sz w:val="28"/>
          <w:szCs w:val="28"/>
        </w:rPr>
      </w:pPr>
    </w:p>
    <w:p>
      <w:pPr>
        <w:jc w:val="both"/>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甲方：</w:t>
      </w:r>
    </w:p>
    <w:p>
      <w:pPr>
        <w:keepNext w:val="0"/>
        <w:keepLines w:val="0"/>
        <w:pageBreakBefore w:val="0"/>
        <w:widowControl/>
        <w:kinsoku/>
        <w:wordWrap/>
        <w:overflowPunct/>
        <w:topLinePunct w:val="0"/>
        <w:autoSpaceDE/>
        <w:autoSpaceDN/>
        <w:bidi w:val="0"/>
        <w:spacing w:line="240" w:lineRule="auto"/>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地址:</w:t>
      </w:r>
    </w:p>
    <w:p>
      <w:pPr>
        <w:keepNext w:val="0"/>
        <w:keepLines w:val="0"/>
        <w:pageBreakBefore w:val="0"/>
        <w:widowControl/>
        <w:kinsoku/>
        <w:wordWrap/>
        <w:overflowPunct/>
        <w:topLinePunct w:val="0"/>
        <w:autoSpaceDE/>
        <w:autoSpaceDN/>
        <w:bidi w:val="0"/>
        <w:spacing w:line="240" w:lineRule="auto"/>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统一社会信用代码:</w:t>
      </w:r>
    </w:p>
    <w:p>
      <w:pPr>
        <w:keepNext w:val="0"/>
        <w:keepLines w:val="0"/>
        <w:pageBreakBefore w:val="0"/>
        <w:widowControl/>
        <w:kinsoku/>
        <w:wordWrap/>
        <w:overflowPunct/>
        <w:topLinePunct w:val="0"/>
        <w:autoSpaceDE/>
        <w:autoSpaceDN/>
        <w:bidi w:val="0"/>
        <w:spacing w:line="240" w:lineRule="auto"/>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联系人：</w:t>
      </w:r>
    </w:p>
    <w:p>
      <w:pPr>
        <w:widowControl/>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电话:</w:t>
      </w:r>
    </w:p>
    <w:p>
      <w:pPr>
        <w:widowControl/>
        <w:jc w:val="both"/>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乙方：</w:t>
      </w:r>
    </w:p>
    <w:p>
      <w:pPr>
        <w:keepNext w:val="0"/>
        <w:keepLines w:val="0"/>
        <w:pageBreakBefore w:val="0"/>
        <w:widowControl/>
        <w:kinsoku/>
        <w:wordWrap/>
        <w:overflowPunct/>
        <w:topLinePunct w:val="0"/>
        <w:autoSpaceDE/>
        <w:autoSpaceDN/>
        <w:bidi w:val="0"/>
        <w:spacing w:line="240" w:lineRule="auto"/>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地址:</w:t>
      </w:r>
    </w:p>
    <w:p>
      <w:pPr>
        <w:keepNext w:val="0"/>
        <w:keepLines w:val="0"/>
        <w:pageBreakBefore w:val="0"/>
        <w:widowControl/>
        <w:kinsoku/>
        <w:wordWrap/>
        <w:overflowPunct/>
        <w:topLinePunct w:val="0"/>
        <w:autoSpaceDE/>
        <w:autoSpaceDN/>
        <w:bidi w:val="0"/>
        <w:spacing w:line="240" w:lineRule="auto"/>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统一社会信用代码:</w:t>
      </w:r>
    </w:p>
    <w:p>
      <w:pPr>
        <w:keepNext w:val="0"/>
        <w:keepLines w:val="0"/>
        <w:pageBreakBefore w:val="0"/>
        <w:widowControl/>
        <w:kinsoku/>
        <w:wordWrap/>
        <w:overflowPunct/>
        <w:topLinePunct w:val="0"/>
        <w:autoSpaceDE/>
        <w:autoSpaceDN/>
        <w:bidi w:val="0"/>
        <w:spacing w:line="240" w:lineRule="auto"/>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联系人：</w:t>
      </w:r>
    </w:p>
    <w:p>
      <w:pPr>
        <w:widowControl/>
        <w:jc w:val="both"/>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color w:val="auto"/>
          <w:sz w:val="32"/>
          <w:szCs w:val="32"/>
        </w:rPr>
        <w:t>电话:</w:t>
      </w:r>
    </w:p>
    <w:p>
      <w:pPr>
        <w:pStyle w:val="2"/>
        <w:rPr>
          <w:rFonts w:hint="eastAsia" w:hAnsi="仿宋_GB2312" w:cs="仿宋_GB231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甲乙双方本着平等、自愿、公平的原则，根据《中华人民共和国民法典》合同</w:t>
      </w:r>
      <w:r>
        <w:rPr>
          <w:rFonts w:hint="eastAsia" w:ascii="仿宋_GB2312" w:hAnsi="仿宋_GB2312" w:eastAsia="仿宋_GB2312" w:cs="仿宋_GB2312"/>
          <w:b w:val="0"/>
          <w:bCs w:val="0"/>
          <w:color w:val="auto"/>
          <w:sz w:val="32"/>
          <w:szCs w:val="32"/>
          <w:lang w:eastAsia="zh-CN"/>
        </w:rPr>
        <w:t>编</w:t>
      </w:r>
      <w:r>
        <w:rPr>
          <w:rFonts w:hint="eastAsia" w:ascii="仿宋_GB2312" w:hAnsi="仿宋_GB2312" w:eastAsia="仿宋_GB2312" w:cs="仿宋_GB2312"/>
          <w:b w:val="0"/>
          <w:bCs w:val="0"/>
          <w:color w:val="auto"/>
          <w:sz w:val="32"/>
          <w:szCs w:val="32"/>
        </w:rPr>
        <w:t>及相关法律法规的规定，经协商一致达成本合同：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第一条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乙方向甲方提供客服系统服务、坐席话务服务、通讯保障服务</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技术支持服务</w:t>
      </w:r>
      <w:r>
        <w:rPr>
          <w:rFonts w:hint="eastAsia" w:ascii="仿宋_GB2312" w:hAnsi="仿宋_GB2312" w:eastAsia="仿宋_GB2312" w:cs="仿宋_GB2312"/>
          <w:b w:val="0"/>
          <w:bCs w:val="0"/>
          <w:color w:val="auto"/>
          <w:sz w:val="32"/>
          <w:szCs w:val="32"/>
          <w:lang w:eastAsia="zh-CN"/>
        </w:rPr>
        <w:t>和其他服务</w:t>
      </w:r>
      <w:r>
        <w:rPr>
          <w:rFonts w:hint="eastAsia" w:ascii="仿宋_GB2312" w:hAnsi="仿宋_GB2312" w:eastAsia="仿宋_GB2312" w:cs="仿宋_GB2312"/>
          <w:b w:val="0"/>
          <w:bCs w:val="0"/>
          <w:color w:val="auto"/>
          <w:sz w:val="32"/>
          <w:szCs w:val="32"/>
        </w:rPr>
        <w:t>。服务内容如下：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1.客服系统服务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（1）乙方向甲方提供智能客服系统、</w:t>
      </w:r>
      <w:r>
        <w:rPr>
          <w:rFonts w:hint="eastAsia" w:ascii="仿宋_GB2312" w:hAnsi="仿宋_GB2312" w:eastAsia="仿宋_GB2312" w:cs="仿宋_GB2312"/>
          <w:color w:val="auto"/>
          <w:sz w:val="32"/>
          <w:szCs w:val="32"/>
          <w:lang w:val="en-US" w:eastAsia="zh-CN"/>
        </w:rPr>
        <w:t>8个全渠道</w:t>
      </w:r>
      <w:r>
        <w:rPr>
          <w:rFonts w:hint="eastAsia" w:ascii="仿宋_GB2312" w:hAnsi="仿宋_GB2312" w:eastAsia="仿宋_GB2312" w:cs="仿宋_GB2312"/>
          <w:color w:val="auto"/>
          <w:sz w:val="32"/>
          <w:szCs w:val="32"/>
        </w:rPr>
        <w:t>坐席账号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1年使用期限</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20个会期全渠道坐席账号（3个月使用期限）</w:t>
      </w:r>
      <w:r>
        <w:rPr>
          <w:rFonts w:hint="eastAsia" w:ascii="仿宋_GB2312" w:hAnsi="仿宋_GB2312" w:eastAsia="仿宋_GB2312" w:cs="仿宋_GB2312"/>
          <w:b w:val="0"/>
          <w:bCs w:val="0"/>
          <w:color w:val="auto"/>
          <w:sz w:val="32"/>
          <w:szCs w:val="32"/>
        </w:rPr>
        <w:t>及相关支持服务。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（2）乙方负责智能客服系统的安装、调试及使用培训。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rPr>
        <w:t>（3）智能客服系统功能应按照</w:t>
      </w:r>
      <w:r>
        <w:rPr>
          <w:rFonts w:hint="eastAsia" w:ascii="仿宋_GB2312" w:hAnsi="仿宋_GB2312" w:eastAsia="仿宋_GB2312" w:cs="仿宋_GB2312"/>
          <w:b w:val="0"/>
          <w:bCs w:val="0"/>
          <w:color w:val="auto"/>
          <w:sz w:val="32"/>
          <w:szCs w:val="32"/>
          <w:highlight w:val="none"/>
        </w:rPr>
        <w:t>《客服热线系统功能清单》（详见附件一）进行配置。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（4）乙方需协助甲方建立客服知识库。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（5）客服系统应于</w:t>
      </w:r>
      <w:r>
        <w:rPr>
          <w:rFonts w:hint="eastAsia" w:ascii="仿宋_GB2312" w:hAnsi="仿宋_GB2312" w:eastAsia="仿宋_GB2312" w:cs="仿宋_GB2312"/>
          <w:b w:val="0"/>
          <w:bCs w:val="0"/>
          <w:color w:val="auto"/>
          <w:sz w:val="32"/>
          <w:szCs w:val="32"/>
          <w:lang w:eastAsia="zh-CN"/>
        </w:rPr>
        <w:t>合同</w:t>
      </w:r>
      <w:r>
        <w:rPr>
          <w:rFonts w:hint="eastAsia" w:ascii="仿宋_GB2312" w:hAnsi="仿宋_GB2312" w:eastAsia="仿宋_GB2312" w:cs="仿宋_GB2312"/>
          <w:b w:val="0"/>
          <w:bCs w:val="0"/>
          <w:color w:val="auto"/>
          <w:sz w:val="32"/>
          <w:szCs w:val="32"/>
        </w:rPr>
        <w:t>签订后</w:t>
      </w: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rPr>
        <w:t>周内正式上线运行。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2.坐席话务服务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（1）乙方向甲方提供3名专业的中英双语驻场话务员，其中一名双语话务员服务期为一年，另两名双语话务员服务期为四个月（短期服务起始时间由甲方根据客服热线业务情况决定）。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（2）乙方需根据甲方的业务需要，动态调整派驻人员数量，此部分费用以</w:t>
      </w:r>
      <w:r>
        <w:rPr>
          <w:rFonts w:hint="eastAsia" w:ascii="仿宋_GB2312" w:hAnsi="仿宋_GB2312" w:eastAsia="仿宋_GB2312" w:cs="仿宋_GB2312"/>
          <w:b w:val="0"/>
          <w:bCs w:val="0"/>
          <w:color w:val="auto"/>
          <w:sz w:val="32"/>
          <w:szCs w:val="32"/>
          <w:highlight w:val="none"/>
        </w:rPr>
        <w:t>《服务费用明细》（详见附件二）</w:t>
      </w:r>
      <w:r>
        <w:rPr>
          <w:rFonts w:hint="eastAsia" w:ascii="仿宋_GB2312" w:hAnsi="仿宋_GB2312" w:eastAsia="仿宋_GB2312" w:cs="仿宋_GB2312"/>
          <w:b w:val="0"/>
          <w:bCs w:val="0"/>
          <w:color w:val="auto"/>
          <w:sz w:val="32"/>
          <w:szCs w:val="32"/>
        </w:rPr>
        <w:t>的驻场人员价格为依据。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（3）坐席话务</w:t>
      </w:r>
      <w:r>
        <w:rPr>
          <w:rFonts w:hint="eastAsia" w:ascii="仿宋_GB2312" w:hAnsi="仿宋_GB2312" w:eastAsia="仿宋_GB2312" w:cs="仿宋_GB2312"/>
          <w:b w:val="0"/>
          <w:bCs w:val="0"/>
          <w:color w:val="auto"/>
          <w:sz w:val="32"/>
          <w:szCs w:val="32"/>
          <w:lang w:eastAsia="zh-CN"/>
        </w:rPr>
        <w:t>员</w:t>
      </w:r>
      <w:r>
        <w:rPr>
          <w:rFonts w:hint="eastAsia" w:ascii="仿宋_GB2312" w:hAnsi="仿宋_GB2312" w:eastAsia="仿宋_GB2312" w:cs="仿宋_GB2312"/>
          <w:b w:val="0"/>
          <w:bCs w:val="0"/>
          <w:color w:val="auto"/>
          <w:sz w:val="32"/>
          <w:szCs w:val="32"/>
        </w:rPr>
        <w:t>素质要求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1）大专及以上学历，专业不限，性别不限，年龄在22-40岁之间（含）。</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2）具有较强的学习能力和专业的客服知识，经过甲方业务培训后能迅速上岗。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3）具有分析、处理、应变及解决问题的工作能力，以及良好的客户服务意识，综合素质较高。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4）富有同情心、善于倾听、引导和与人沟通。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5）具有优秀的语言表达能力和沟通能力，口齿清晰，普通话标准，能使用流畅的英文与外商沟通交流。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6）能熟练使用中文打字软件和办公软件，有较强的文字归纳能力。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7）工作责任心强，保密意识强，组织纪律性强，服务大局工作安排。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8）无犯罪记录和不良行为记录。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9）符合以下条件之一者优先聘用：中共党员，有相关工作经验，能熟悉使用当地方言，服务所在地生源。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（4）遵守甲方工作纪律和保密纪律，服从甲方相关工作的安排及管理。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（5）如乙方提供的双语话务员不能达到甲方的工作要求或有违法违纪行为的，甲方有权要求乙方及时更换话务员。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3.通讯保障服务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rPr>
        <w:t>（1）乙方提供1条2M支持30路并发的语音中继</w:t>
      </w:r>
      <w:r>
        <w:rPr>
          <w:rFonts w:hint="eastAsia" w:ascii="仿宋_GB2312" w:hAnsi="仿宋_GB2312" w:eastAsia="仿宋_GB2312" w:cs="仿宋_GB2312"/>
          <w:b w:val="0"/>
          <w:bCs w:val="0"/>
          <w:color w:val="auto"/>
          <w:sz w:val="32"/>
          <w:szCs w:val="32"/>
          <w:highlight w:val="none"/>
          <w:lang w:val="en-US" w:eastAsia="zh-CN"/>
        </w:rPr>
        <w:t>租</w:t>
      </w:r>
      <w:r>
        <w:rPr>
          <w:rFonts w:hint="eastAsia" w:ascii="仿宋_GB2312" w:hAnsi="仿宋_GB2312" w:eastAsia="仿宋_GB2312" w:cs="仿宋_GB2312"/>
          <w:b w:val="0"/>
          <w:bCs w:val="0"/>
          <w:color w:val="auto"/>
          <w:sz w:val="32"/>
          <w:szCs w:val="32"/>
          <w:highlight w:val="none"/>
        </w:rPr>
        <w:t>用于坐席服务</w:t>
      </w:r>
      <w:r>
        <w:rPr>
          <w:rFonts w:hint="eastAsia" w:ascii="仿宋_GB2312" w:hAnsi="仿宋_GB2312" w:eastAsia="仿宋_GB2312" w:cs="仿宋_GB2312"/>
          <w:b w:val="0"/>
          <w:bCs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（2）乙方根据甲方需求提供客服热线号码，并确保热线号码全年正常使用。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（3）乙方负责通讯线路的安装部署及保障全年所有坐席的通讯线路正常使用。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4.技术支持服务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乙方负责客服热线远程及现场技术支撑，根据实际情况解决现场出现的技术问题，即时响应，动态优化，保证客服热线的正常运营。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5.其他服务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（1）乙方应根据甲方的需求，协助甲方建立相应的客服热线管理制度及执行管理办法，包括但不限于客服运营业务流程、标准化客服业务管理办法、客服人员培养办法及客服热线相关制度等。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（2）提供不少于3场客服业务培训，包括但不限于客服服务标准化流程培训、客服业务能力培训和客服业务知识培训。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第二条 甲方委托乙方完成的服务内容及双方权利义务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1.乙方按</w:t>
      </w:r>
      <w:r>
        <w:rPr>
          <w:rFonts w:hint="eastAsia" w:ascii="仿宋_GB2312" w:hAnsi="仿宋_GB2312" w:eastAsia="仿宋_GB2312" w:cs="仿宋_GB2312"/>
          <w:b w:val="0"/>
          <w:bCs w:val="0"/>
          <w:color w:val="auto"/>
          <w:sz w:val="32"/>
          <w:szCs w:val="32"/>
          <w:lang w:val="en-US"/>
        </w:rPr>
        <w:t>合同</w:t>
      </w:r>
      <w:r>
        <w:rPr>
          <w:rFonts w:hint="eastAsia" w:ascii="仿宋_GB2312" w:hAnsi="仿宋_GB2312" w:eastAsia="仿宋_GB2312" w:cs="仿宋_GB2312"/>
          <w:b w:val="0"/>
          <w:bCs w:val="0"/>
          <w:color w:val="auto"/>
          <w:sz w:val="32"/>
          <w:szCs w:val="32"/>
        </w:rPr>
        <w:t>的要求做好提供客服系统、坐席话务员、通讯保障及技术支持等服务，并对服务质量负责。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2.为确保数据安全性，防止泄露和遗失，乙方须与甲方签订保密协议，做好相关保密工作。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3.其他上述条款未细列，但属于客服热线业务范畴不涉及经费开支的其他工作，可由甲方与乙方协商一致后</w:t>
      </w:r>
      <w:r>
        <w:rPr>
          <w:rFonts w:hint="eastAsia" w:ascii="仿宋_GB2312" w:hAnsi="仿宋_GB2312" w:eastAsia="仿宋_GB2312" w:cs="仿宋_GB2312"/>
          <w:b w:val="0"/>
          <w:bCs w:val="0"/>
          <w:color w:val="auto"/>
          <w:sz w:val="32"/>
          <w:szCs w:val="32"/>
          <w:lang w:eastAsia="zh-CN"/>
        </w:rPr>
        <w:t>签订</w:t>
      </w:r>
      <w:r>
        <w:rPr>
          <w:rFonts w:hint="eastAsia" w:ascii="仿宋_GB2312" w:hAnsi="仿宋_GB2312" w:eastAsia="仿宋_GB2312" w:cs="仿宋_GB2312"/>
          <w:b w:val="0"/>
          <w:bCs w:val="0"/>
          <w:color w:val="auto"/>
          <w:sz w:val="32"/>
          <w:szCs w:val="32"/>
        </w:rPr>
        <w:t>补充</w:t>
      </w:r>
      <w:r>
        <w:rPr>
          <w:rFonts w:hint="eastAsia" w:ascii="仿宋_GB2312" w:hAnsi="仿宋_GB2312" w:eastAsia="仿宋_GB2312" w:cs="仿宋_GB2312"/>
          <w:b w:val="0"/>
          <w:bCs w:val="0"/>
          <w:color w:val="auto"/>
          <w:sz w:val="32"/>
          <w:szCs w:val="32"/>
          <w:lang w:eastAsia="zh-CN"/>
        </w:rPr>
        <w:t>协议</w:t>
      </w:r>
      <w:r>
        <w:rPr>
          <w:rFonts w:hint="eastAsia" w:ascii="仿宋_GB2312" w:hAnsi="仿宋_GB2312" w:eastAsia="仿宋_GB2312" w:cs="仿宋_GB2312"/>
          <w:b w:val="0"/>
          <w:bCs w:val="0"/>
          <w:color w:val="auto"/>
          <w:sz w:val="32"/>
          <w:szCs w:val="32"/>
        </w:rPr>
        <w:t>确认为执行内容。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4.乙方服务工作过程中如侵犯了第三方合法权益而引发的任何纠纷或诉讼，均由乙方负责交涉并承担全部责任。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5.本</w:t>
      </w:r>
      <w:r>
        <w:rPr>
          <w:rFonts w:hint="eastAsia" w:ascii="仿宋_GB2312" w:hAnsi="仿宋_GB2312" w:eastAsia="仿宋_GB2312" w:cs="仿宋_GB2312"/>
          <w:b w:val="0"/>
          <w:bCs w:val="0"/>
          <w:color w:val="auto"/>
          <w:sz w:val="32"/>
          <w:szCs w:val="32"/>
          <w:lang w:val="en-US" w:eastAsia="zh-CN"/>
        </w:rPr>
        <w:t>合同</w:t>
      </w:r>
      <w:r>
        <w:rPr>
          <w:rFonts w:hint="eastAsia" w:ascii="仿宋_GB2312" w:hAnsi="仿宋_GB2312" w:eastAsia="仿宋_GB2312" w:cs="仿宋_GB2312"/>
          <w:b w:val="0"/>
          <w:bCs w:val="0"/>
          <w:color w:val="auto"/>
          <w:sz w:val="32"/>
          <w:szCs w:val="32"/>
        </w:rPr>
        <w:t>执行过程中如乙方获知甲方内部资料、国家机密等保密信息，乙方负有保密义务，不得泄露于第三方。如有违反，乙方应承担由此所造成的一切法律责任。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第三条 本合同固定项目的总金额为人民币</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highlight w:val="none"/>
        </w:rPr>
        <w:t>整（小写：</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rPr>
        <w:t>），超出合同金额的通讯费用根</w:t>
      </w:r>
      <w:r>
        <w:rPr>
          <w:rFonts w:hint="eastAsia" w:ascii="仿宋_GB2312" w:hAnsi="仿宋_GB2312" w:eastAsia="仿宋_GB2312" w:cs="仿宋_GB2312"/>
          <w:b w:val="0"/>
          <w:bCs w:val="0"/>
          <w:color w:val="auto"/>
          <w:sz w:val="32"/>
          <w:szCs w:val="32"/>
        </w:rPr>
        <w:t>据实际产生的费用由甲方另行</w:t>
      </w:r>
      <w:r>
        <w:rPr>
          <w:rFonts w:hint="eastAsia" w:ascii="仿宋_GB2312" w:hAnsi="仿宋_GB2312" w:eastAsia="仿宋_GB2312" w:cs="仿宋_GB2312"/>
          <w:b w:val="0"/>
          <w:bCs w:val="0"/>
          <w:color w:val="auto"/>
          <w:sz w:val="32"/>
          <w:szCs w:val="32"/>
          <w:lang w:val="en-US" w:eastAsia="zh-CN"/>
        </w:rPr>
        <w:t>支付</w:t>
      </w:r>
      <w:r>
        <w:rPr>
          <w:rFonts w:hint="eastAsia" w:ascii="仿宋_GB2312" w:hAnsi="仿宋_GB2312" w:eastAsia="仿宋_GB2312" w:cs="仿宋_GB2312"/>
          <w:b w:val="0"/>
          <w:bCs w:val="0"/>
          <w:color w:val="auto"/>
          <w:sz w:val="32"/>
          <w:szCs w:val="32"/>
        </w:rPr>
        <w:t>；服务期为1年，即本</w:t>
      </w:r>
      <w:r>
        <w:rPr>
          <w:rFonts w:hint="eastAsia" w:ascii="仿宋_GB2312" w:hAnsi="仿宋_GB2312" w:eastAsia="仿宋_GB2312" w:cs="仿宋_GB2312"/>
          <w:b w:val="0"/>
          <w:bCs w:val="0"/>
          <w:color w:val="auto"/>
          <w:sz w:val="32"/>
          <w:szCs w:val="32"/>
          <w:lang w:eastAsia="zh-CN"/>
        </w:rPr>
        <w:t>合同</w:t>
      </w:r>
      <w:r>
        <w:rPr>
          <w:rFonts w:hint="eastAsia" w:ascii="仿宋_GB2312" w:hAnsi="仿宋_GB2312" w:eastAsia="仿宋_GB2312" w:cs="仿宋_GB2312"/>
          <w:b w:val="0"/>
          <w:bCs w:val="0"/>
          <w:color w:val="auto"/>
          <w:sz w:val="32"/>
          <w:szCs w:val="32"/>
        </w:rPr>
        <w:t>生效之日起至次年同月同日止。乙方对人员、资金等项目相关方面负有监督、统筹、协调、支持的责任，确保按照</w:t>
      </w:r>
      <w:r>
        <w:rPr>
          <w:rFonts w:hint="eastAsia" w:ascii="仿宋_GB2312" w:hAnsi="仿宋_GB2312" w:eastAsia="仿宋_GB2312" w:cs="仿宋_GB2312"/>
          <w:b w:val="0"/>
          <w:bCs w:val="0"/>
          <w:color w:val="auto"/>
          <w:sz w:val="32"/>
          <w:szCs w:val="32"/>
          <w:lang w:val="en-US" w:eastAsia="zh-CN"/>
        </w:rPr>
        <w:t>合同</w:t>
      </w:r>
      <w:r>
        <w:rPr>
          <w:rFonts w:hint="eastAsia" w:ascii="仿宋_GB2312" w:hAnsi="仿宋_GB2312" w:eastAsia="仿宋_GB2312" w:cs="仿宋_GB2312"/>
          <w:b w:val="0"/>
          <w:bCs w:val="0"/>
          <w:color w:val="auto"/>
          <w:sz w:val="32"/>
          <w:szCs w:val="32"/>
        </w:rPr>
        <w:t>约定全面履行义务。《服务费用明细》详见附件二。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1.付款方式：项目费用分</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期支付，支付方式为银行转账：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rPr>
        <w:t>第1期：</w:t>
      </w:r>
      <w:r>
        <w:rPr>
          <w:rFonts w:hint="eastAsia" w:ascii="仿宋_GB2312" w:hAnsi="仿宋_GB2312" w:eastAsia="仿宋_GB2312" w:cs="仿宋_GB2312"/>
          <w:b w:val="0"/>
          <w:bCs w:val="0"/>
          <w:color w:val="auto"/>
          <w:sz w:val="32"/>
          <w:szCs w:val="32"/>
          <w:lang w:eastAsia="zh-CN"/>
        </w:rPr>
        <w:t>自本合同签署后</w:t>
      </w:r>
      <w:r>
        <w:rPr>
          <w:rFonts w:hint="eastAsia" w:ascii="仿宋_GB2312" w:hAnsi="仿宋_GB2312" w:eastAsia="仿宋_GB2312" w:cs="仿宋_GB2312"/>
          <w:b w:val="0"/>
          <w:bCs w:val="0"/>
          <w:color w:val="auto"/>
          <w:sz w:val="32"/>
          <w:szCs w:val="32"/>
          <w:lang w:val="en-US" w:eastAsia="zh-CN"/>
        </w:rPr>
        <w:t>10个工作日内</w:t>
      </w:r>
      <w:r>
        <w:rPr>
          <w:rFonts w:hint="eastAsia" w:ascii="仿宋_GB2312" w:hAnsi="仿宋_GB2312" w:eastAsia="仿宋_GB2312" w:cs="仿宋_GB2312"/>
          <w:b w:val="0"/>
          <w:bCs w:val="0"/>
          <w:color w:val="auto"/>
          <w:sz w:val="32"/>
          <w:szCs w:val="32"/>
        </w:rPr>
        <w:t>，甲方收到乙方开具的等额增值税专用发票后，甲方向乙方支付合同总额</w:t>
      </w:r>
      <w:r>
        <w:rPr>
          <w:rFonts w:hint="eastAsia" w:ascii="仿宋_GB2312" w:hAnsi="仿宋_GB2312" w:eastAsia="仿宋_GB2312" w:cs="仿宋_GB2312"/>
          <w:b w:val="0"/>
          <w:bCs w:val="0"/>
          <w:color w:val="auto"/>
          <w:sz w:val="32"/>
          <w:szCs w:val="32"/>
          <w:lang w:val="en-US" w:eastAsia="zh-CN"/>
        </w:rPr>
        <w:t>40</w:t>
      </w:r>
      <w:r>
        <w:rPr>
          <w:rFonts w:hint="eastAsia" w:ascii="仿宋_GB2312" w:hAnsi="仿宋_GB2312" w:eastAsia="仿宋_GB2312" w:cs="仿宋_GB2312"/>
          <w:b w:val="0"/>
          <w:bCs w:val="0"/>
          <w:color w:val="auto"/>
          <w:sz w:val="32"/>
          <w:szCs w:val="32"/>
        </w:rPr>
        <w:t>%，即</w:t>
      </w:r>
      <w:r>
        <w:rPr>
          <w:rFonts w:hint="eastAsia" w:ascii="仿宋_GB2312" w:hAnsi="仿宋_GB2312" w:eastAsia="仿宋_GB2312" w:cs="仿宋_GB2312"/>
          <w:b w:val="0"/>
          <w:bCs w:val="0"/>
          <w:color w:val="auto"/>
          <w:sz w:val="32"/>
          <w:szCs w:val="32"/>
          <w:highlight w:val="none"/>
        </w:rPr>
        <w:t>人民币</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rPr>
        <w:t>（小写：</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第2期：合同签署满6个月并收到乙方开具的等额增值税专用发票后，甲方向乙方支付合同总额40%，即人民币</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（小写：</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第3期：服务期满后，乙方协助甲方将系统中的资料数据完全导出，并开具等额增值税专业发票，甲方在收到发票后20个工作日内将项目结算余款人民币                          （</w:t>
      </w:r>
      <w:r>
        <w:rPr>
          <w:rFonts w:hint="eastAsia" w:ascii="仿宋_GB2312" w:hAnsi="仿宋_GB2312" w:eastAsia="仿宋_GB2312" w:cs="仿宋_GB2312"/>
          <w:b w:val="0"/>
          <w:bCs w:val="0"/>
          <w:color w:val="auto"/>
          <w:sz w:val="32"/>
          <w:szCs w:val="32"/>
        </w:rPr>
        <w:t>小写：</w:t>
      </w:r>
      <w:r>
        <w:rPr>
          <w:rFonts w:hint="eastAsia" w:ascii="仿宋_GB2312" w:hAnsi="仿宋_GB2312" w:eastAsia="仿宋_GB2312" w:cs="仿宋_GB2312"/>
          <w:b w:val="0"/>
          <w:bCs w:val="0"/>
          <w:color w:val="auto"/>
          <w:sz w:val="32"/>
          <w:szCs w:val="32"/>
          <w:lang w:val="en-US" w:eastAsia="zh-CN"/>
        </w:rPr>
        <w:t xml:space="preserve">               ）支付给乙方。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2.乙方指定以下收款账户，账户信息如下：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开户名称：</w:t>
      </w:r>
      <w:r>
        <w:rPr>
          <w:rFonts w:hint="eastAsia" w:ascii="仿宋_GB2312" w:hAnsi="仿宋_GB2312" w:eastAsia="仿宋_GB2312" w:cs="仿宋_GB2312"/>
          <w:b w:val="0"/>
          <w:bCs w:val="0"/>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rPr>
        <w:t>开户银行：</w:t>
      </w:r>
      <w:r>
        <w:rPr>
          <w:rFonts w:hint="eastAsia" w:ascii="仿宋_GB2312" w:hAnsi="仿宋_GB2312" w:eastAsia="仿宋_GB2312" w:cs="仿宋_GB2312"/>
          <w:b w:val="0"/>
          <w:bCs w:val="0"/>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开户账号：</w:t>
      </w:r>
      <w:r>
        <w:rPr>
          <w:rFonts w:hint="eastAsia" w:ascii="仿宋_GB2312" w:hAnsi="仿宋_GB2312" w:eastAsia="仿宋_GB2312" w:cs="仿宋_GB2312"/>
          <w:b w:val="0"/>
          <w:bCs w:val="0"/>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3.本</w:t>
      </w:r>
      <w:r>
        <w:rPr>
          <w:rFonts w:hint="eastAsia" w:ascii="仿宋_GB2312" w:hAnsi="仿宋_GB2312" w:eastAsia="仿宋_GB2312" w:cs="仿宋_GB2312"/>
          <w:b w:val="0"/>
          <w:bCs w:val="0"/>
          <w:color w:val="auto"/>
          <w:sz w:val="32"/>
          <w:szCs w:val="32"/>
          <w:lang w:val="en-US" w:eastAsia="zh-CN"/>
        </w:rPr>
        <w:t>合同</w:t>
      </w:r>
      <w:r>
        <w:rPr>
          <w:rFonts w:hint="eastAsia" w:ascii="仿宋_GB2312" w:hAnsi="仿宋_GB2312" w:eastAsia="仿宋_GB2312" w:cs="仿宋_GB2312"/>
          <w:b w:val="0"/>
          <w:bCs w:val="0"/>
          <w:color w:val="auto"/>
          <w:sz w:val="32"/>
          <w:szCs w:val="32"/>
        </w:rPr>
        <w:t>执行中相关的一切税费均由乙方负担。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第四条 乙方未按本</w:t>
      </w:r>
      <w:r>
        <w:rPr>
          <w:rFonts w:hint="eastAsia" w:ascii="仿宋_GB2312" w:hAnsi="仿宋_GB2312" w:eastAsia="仿宋_GB2312" w:cs="仿宋_GB2312"/>
          <w:b w:val="0"/>
          <w:bCs w:val="0"/>
          <w:color w:val="auto"/>
          <w:sz w:val="32"/>
          <w:szCs w:val="32"/>
          <w:lang w:val="en-US" w:eastAsia="zh-CN"/>
        </w:rPr>
        <w:t>合同</w:t>
      </w:r>
      <w:r>
        <w:rPr>
          <w:rFonts w:hint="eastAsia" w:ascii="仿宋_GB2312" w:hAnsi="仿宋_GB2312" w:eastAsia="仿宋_GB2312" w:cs="仿宋_GB2312"/>
          <w:b w:val="0"/>
          <w:bCs w:val="0"/>
          <w:color w:val="auto"/>
          <w:sz w:val="32"/>
          <w:szCs w:val="32"/>
        </w:rPr>
        <w:t>和附件中的服务标准提供服务，造成严重后果的，乙方应按本</w:t>
      </w:r>
      <w:r>
        <w:rPr>
          <w:rFonts w:hint="eastAsia" w:ascii="仿宋_GB2312" w:hAnsi="仿宋_GB2312" w:eastAsia="仿宋_GB2312" w:cs="仿宋_GB2312"/>
          <w:b w:val="0"/>
          <w:bCs w:val="0"/>
          <w:color w:val="auto"/>
          <w:sz w:val="32"/>
          <w:szCs w:val="32"/>
          <w:lang w:val="en-US" w:eastAsia="zh-CN"/>
        </w:rPr>
        <w:t>合同</w:t>
      </w:r>
      <w:r>
        <w:rPr>
          <w:rFonts w:hint="eastAsia" w:ascii="仿宋_GB2312" w:hAnsi="仿宋_GB2312" w:eastAsia="仿宋_GB2312" w:cs="仿宋_GB2312"/>
          <w:b w:val="0"/>
          <w:bCs w:val="0"/>
          <w:color w:val="auto"/>
          <w:sz w:val="32"/>
          <w:szCs w:val="32"/>
        </w:rPr>
        <w:t>合计金额5%向甲方支付违约金。由于甲方的原因造成合同不能如期履行的，双方可根据具体情况顺延合同的履行期，对乙方因此造成的损失，甲方应予以补偿。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第五条 不可抗力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1.合同期内，由于不可抗力原因导致</w:t>
      </w:r>
      <w:r>
        <w:rPr>
          <w:rFonts w:hint="eastAsia" w:ascii="仿宋_GB2312" w:hAnsi="仿宋_GB2312" w:eastAsia="仿宋_GB2312" w:cs="仿宋_GB2312"/>
          <w:b w:val="0"/>
          <w:bCs w:val="0"/>
          <w:color w:val="auto"/>
          <w:sz w:val="32"/>
          <w:szCs w:val="32"/>
          <w:lang w:val="en-US" w:eastAsia="zh-CN"/>
        </w:rPr>
        <w:t>合同</w:t>
      </w:r>
      <w:r>
        <w:rPr>
          <w:rFonts w:hint="eastAsia" w:ascii="仿宋_GB2312" w:hAnsi="仿宋_GB2312" w:eastAsia="仿宋_GB2312" w:cs="仿宋_GB2312"/>
          <w:b w:val="0"/>
          <w:bCs w:val="0"/>
          <w:color w:val="auto"/>
          <w:sz w:val="32"/>
          <w:szCs w:val="32"/>
        </w:rPr>
        <w:t>无法履行或履行障碍，</w:t>
      </w:r>
      <w:r>
        <w:rPr>
          <w:rFonts w:hint="eastAsia" w:ascii="仿宋_GB2312" w:hAnsi="仿宋_GB2312" w:eastAsia="仿宋_GB2312" w:cs="仿宋_GB2312"/>
          <w:b w:val="0"/>
          <w:bCs w:val="0"/>
          <w:color w:val="auto"/>
          <w:sz w:val="32"/>
          <w:szCs w:val="32"/>
          <w:lang w:eastAsia="zh-CN"/>
        </w:rPr>
        <w:t>甲乙</w:t>
      </w:r>
      <w:r>
        <w:rPr>
          <w:rFonts w:hint="eastAsia" w:ascii="仿宋_GB2312" w:hAnsi="仿宋_GB2312" w:eastAsia="仿宋_GB2312" w:cs="仿宋_GB2312"/>
          <w:b w:val="0"/>
          <w:bCs w:val="0"/>
          <w:color w:val="auto"/>
          <w:sz w:val="32"/>
          <w:szCs w:val="32"/>
        </w:rPr>
        <w:t>双方互不承担违约责任，但先发现的一方有义务在第一时间内书面通知其他一方，任何一方因不可抗力原因导致不能履行合同，则合同履行期可延长，其延长期与不可抗力影响期相同。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2.合同期内，不可抗力事件延续一百二十天以上，</w:t>
      </w:r>
      <w:r>
        <w:rPr>
          <w:rFonts w:hint="eastAsia" w:ascii="仿宋_GB2312" w:hAnsi="仿宋_GB2312" w:eastAsia="仿宋_GB2312" w:cs="仿宋_GB2312"/>
          <w:b w:val="0"/>
          <w:bCs w:val="0"/>
          <w:color w:val="auto"/>
          <w:sz w:val="32"/>
          <w:szCs w:val="32"/>
          <w:lang w:eastAsia="zh-CN"/>
        </w:rPr>
        <w:t>甲乙</w:t>
      </w:r>
      <w:r>
        <w:rPr>
          <w:rFonts w:hint="eastAsia" w:ascii="仿宋_GB2312" w:hAnsi="仿宋_GB2312" w:eastAsia="仿宋_GB2312" w:cs="仿宋_GB2312"/>
          <w:b w:val="0"/>
          <w:bCs w:val="0"/>
          <w:color w:val="auto"/>
          <w:sz w:val="32"/>
          <w:szCs w:val="32"/>
        </w:rPr>
        <w:t>双方应通过友好协商，确定是否继续履行合同。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第六条 </w:t>
      </w:r>
      <w:r>
        <w:rPr>
          <w:rFonts w:hint="eastAsia" w:ascii="仿宋_GB2312" w:hAnsi="仿宋_GB2312" w:eastAsia="仿宋_GB2312" w:cs="仿宋_GB2312"/>
          <w:b w:val="0"/>
          <w:bCs w:val="0"/>
          <w:color w:val="auto"/>
          <w:sz w:val="32"/>
          <w:szCs w:val="32"/>
          <w:lang w:eastAsia="zh-CN"/>
        </w:rPr>
        <w:t>合同</w:t>
      </w:r>
      <w:r>
        <w:rPr>
          <w:rFonts w:hint="eastAsia" w:ascii="仿宋_GB2312" w:hAnsi="仿宋_GB2312" w:eastAsia="仿宋_GB2312" w:cs="仿宋_GB2312"/>
          <w:b w:val="0"/>
          <w:bCs w:val="0"/>
          <w:color w:val="auto"/>
          <w:sz w:val="32"/>
          <w:szCs w:val="32"/>
        </w:rPr>
        <w:t>引发的争议应由甲乙双方友好协商解决</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协商不成或不愿协商的，可向南宁仲裁委员会申请仲裁。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第七条 通知和送达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甲乙双方同意，仲裁机构和合同当事人可以采用直接送达、留置送达及邮寄、传真、电子邮件等法律认可的方式送达就有关本合同的履行、仲裁等事项发出的任何法律文件、通讯和通知，送达地址及联系方式以本合同甲乙双方列示的为准。如发生变动，甲乙双方应立即书面通知对方。合同一方当事人以及仲裁机构只要按照本合同的联系方式发送，即应视作在下列日期被送达：（1）邮递（包括特快专递、平信邮寄、挂号邮寄），以邮寄之日后的第七个工作日视为送达日；（2）传真或其他电子通讯方式，以发送之日视为送达日；（3）专人送达，以收件人签收之日视为送达日。如果发生收件人拒绝签收或其它无法送达的情形的，则从发件人寄出文书之日起视为已经送达对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第八条 除《中华人民共和国政府采购法》第五十条规定的情形外，本合同一经签订，甲乙双方不得擅自变更、中止或终止。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第九条 本合同正本一式陆份，甲乙双方各执叁份，自双方法定代表人或授权代理人签字并加盖公章</w:t>
      </w:r>
      <w:r>
        <w:rPr>
          <w:rFonts w:hint="eastAsia" w:ascii="仿宋_GB2312" w:hAnsi="仿宋_GB2312" w:eastAsia="仿宋_GB2312" w:cs="仿宋_GB2312"/>
          <w:b w:val="0"/>
          <w:bCs w:val="0"/>
          <w:color w:val="auto"/>
          <w:sz w:val="32"/>
          <w:szCs w:val="32"/>
          <w:lang w:eastAsia="zh-CN"/>
        </w:rPr>
        <w:t>或合同专用章</w:t>
      </w:r>
      <w:r>
        <w:rPr>
          <w:rFonts w:hint="eastAsia" w:ascii="仿宋_GB2312" w:hAnsi="仿宋_GB2312" w:eastAsia="仿宋_GB2312" w:cs="仿宋_GB2312"/>
          <w:b w:val="0"/>
          <w:bCs w:val="0"/>
          <w:color w:val="auto"/>
          <w:sz w:val="32"/>
          <w:szCs w:val="32"/>
        </w:rPr>
        <w:t>之日起生效。</w:t>
      </w:r>
    </w:p>
    <w:p>
      <w:pPr>
        <w:pStyle w:val="2"/>
        <w:spacing w:line="600" w:lineRule="exact"/>
        <w:rPr>
          <w:rFonts w:hint="eastAsia" w:hAnsi="仿宋_GB2312" w:eastAsia="仿宋_GB2312" w:cs="仿宋_GB2312"/>
          <w:szCs w:val="32"/>
          <w:lang w:eastAsia="zh-CN"/>
        </w:rPr>
      </w:pPr>
      <w:r>
        <w:rPr>
          <w:rFonts w:hint="eastAsia" w:ascii="仿宋_GB2312" w:hAnsi="仿宋_GB2312" w:eastAsia="仿宋_GB2312" w:cs="仿宋_GB2312"/>
          <w:b w:val="0"/>
          <w:bCs w:val="0"/>
          <w:color w:val="auto"/>
          <w:sz w:val="32"/>
          <w:szCs w:val="32"/>
          <w:lang w:eastAsia="zh-CN"/>
        </w:rPr>
        <w:t>（以下无正文）</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eastAsia" w:ascii="仿宋_GB2312" w:hAnsi="仿宋_GB2312" w:eastAsia="仿宋_GB2312" w:cs="仿宋_GB2312"/>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甲方（公章）：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法人代表或授权代理人（签字）：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rPr>
      </w:pPr>
    </w:p>
    <w:p>
      <w:pPr>
        <w:pStyle w:val="2"/>
        <w:spacing w:line="600" w:lineRule="exact"/>
        <w:rPr>
          <w:rFonts w:hint="eastAsia" w:hAnsi="仿宋_GB2312" w:cs="仿宋_GB231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乙方（公章）：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法人代表或授权代理人（签字）：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rPr>
      </w:pPr>
    </w:p>
    <w:p>
      <w:pPr>
        <w:widowControl/>
        <w:snapToGrid w:val="0"/>
        <w:spacing w:line="300" w:lineRule="auto"/>
        <w:jc w:val="left"/>
        <w:rPr>
          <w:rFonts w:hint="eastAsia" w:eastAsia="黑体"/>
          <w:bCs/>
          <w:color w:val="auto"/>
          <w:kern w:val="0"/>
          <w:sz w:val="32"/>
          <w:szCs w:val="32"/>
          <w:highlight w:val="none"/>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签订时间：</w:t>
      </w:r>
      <w:r>
        <w:rPr>
          <w:rFonts w:hint="eastAsia" w:ascii="仿宋_GB2312" w:hAnsi="仿宋_GB2312" w:eastAsia="仿宋_GB2312" w:cs="仿宋_GB2312"/>
          <w:b w:val="0"/>
          <w:bCs w:val="0"/>
          <w:color w:val="auto"/>
          <w:sz w:val="32"/>
          <w:szCs w:val="32"/>
          <w:lang w:val="en-US" w:eastAsia="zh-CN"/>
        </w:rPr>
        <w:t xml:space="preserve">      年    月    日       </w:t>
      </w:r>
      <w:r>
        <w:rPr>
          <w:rFonts w:hint="eastAsia" w:eastAsia="黑体"/>
          <w:bCs/>
          <w:color w:val="auto"/>
          <w:kern w:val="0"/>
          <w:sz w:val="32"/>
          <w:szCs w:val="32"/>
          <w:highlight w:val="none"/>
        </w:rPr>
        <w:br w:type="page"/>
      </w:r>
      <w:r>
        <w:rPr>
          <w:rFonts w:hint="eastAsia" w:ascii="仿宋" w:hAnsi="仿宋" w:eastAsia="仿宋" w:cs="仿宋"/>
          <w:bCs/>
          <w:color w:val="auto"/>
          <w:kern w:val="0"/>
          <w:sz w:val="28"/>
          <w:szCs w:val="28"/>
          <w:highlight w:val="none"/>
        </w:rPr>
        <w:t>合同附件一</w:t>
      </w:r>
    </w:p>
    <w:p>
      <w:pPr>
        <w:widowControl/>
        <w:spacing w:line="560" w:lineRule="exact"/>
        <w:jc w:val="left"/>
        <w:rPr>
          <w:rFonts w:hint="eastAsia" w:eastAsia="黑体"/>
          <w:bCs/>
          <w:color w:val="auto"/>
          <w:kern w:val="0"/>
          <w:sz w:val="32"/>
          <w:szCs w:val="32"/>
          <w:highlight w:val="none"/>
        </w:rPr>
      </w:pPr>
    </w:p>
    <w:tbl>
      <w:tblPr>
        <w:tblStyle w:val="17"/>
        <w:tblW w:w="0" w:type="auto"/>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6"/>
        <w:gridCol w:w="1664"/>
        <w:gridCol w:w="2059"/>
        <w:gridCol w:w="3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8304" w:type="dxa"/>
            <w:gridSpan w:val="4"/>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color w:val="000000"/>
                <w:szCs w:val="21"/>
                <w:lang w:val="en-US" w:eastAsia="zh-CN"/>
              </w:rPr>
            </w:pPr>
            <w:r>
              <w:rPr>
                <w:rFonts w:hint="eastAsia" w:ascii="仿宋_GB2312" w:hAnsi="仿宋_GB2312" w:eastAsia="仿宋_GB2312" w:cs="仿宋_GB2312"/>
                <w:b/>
                <w:bCs/>
                <w:color w:val="000000"/>
                <w:sz w:val="28"/>
                <w:szCs w:val="28"/>
                <w:lang w:val="en-US" w:eastAsia="zh-CN"/>
              </w:rPr>
              <w:t>客服热线系统功能清单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8304" w:type="dxa"/>
            <w:gridSpan w:val="4"/>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b/>
                <w:bCs/>
                <w:color w:val="000000"/>
                <w:szCs w:val="21"/>
                <w:lang w:val="en-US" w:eastAsia="zh-CN"/>
              </w:rPr>
              <w:t>1.呼叫中心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000" w:type="dxa"/>
            <w:gridSpan w:val="2"/>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Cs w:val="21"/>
                <w:lang w:bidi="ar"/>
              </w:rPr>
              <w:t>功能类别</w:t>
            </w:r>
          </w:p>
        </w:tc>
        <w:tc>
          <w:tcPr>
            <w:tcW w:w="205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Cs w:val="21"/>
              </w:rPr>
              <w:t>功能点</w:t>
            </w:r>
          </w:p>
        </w:tc>
        <w:tc>
          <w:tcPr>
            <w:tcW w:w="324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Cs w:val="21"/>
                <w:lang w:bidi="ar"/>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336"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呼叫中心语音平台</w:t>
            </w:r>
          </w:p>
        </w:tc>
        <w:tc>
          <w:tcPr>
            <w:tcW w:w="166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软交换平台</w:t>
            </w: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软交换平台</w:t>
            </w:r>
          </w:p>
        </w:tc>
        <w:tc>
          <w:tcPr>
            <w:tcW w:w="3245" w:type="dxa"/>
            <w:vMerge w:val="restart"/>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本地化部署呼叫中心平台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CTI模块</w:t>
            </w: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CTI模块</w:t>
            </w:r>
          </w:p>
        </w:tc>
        <w:tc>
          <w:tcPr>
            <w:tcW w:w="3245"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IVR模块</w:t>
            </w: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IVR模块</w:t>
            </w:r>
          </w:p>
        </w:tc>
        <w:tc>
          <w:tcPr>
            <w:tcW w:w="3245"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录音模块</w:t>
            </w: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录音模块</w:t>
            </w:r>
          </w:p>
        </w:tc>
        <w:tc>
          <w:tcPr>
            <w:tcW w:w="3245"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restar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第三方线路</w:t>
            </w:r>
          </w:p>
        </w:tc>
        <w:tc>
          <w:tcPr>
            <w:tcW w:w="3245"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租赁：无需自拉线路，直接通过号码租赁的方式使用呼叫中心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支持呼入号码绑定400号码</w:t>
            </w:r>
          </w:p>
        </w:tc>
        <w:tc>
          <w:tcPr>
            <w:tcW w:w="3245" w:type="dxa"/>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336"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客服接听及登录方式</w:t>
            </w:r>
          </w:p>
        </w:tc>
        <w:tc>
          <w:tcPr>
            <w:tcW w:w="1664"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接听方式</w:t>
            </w: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sip话机方式</w:t>
            </w:r>
          </w:p>
        </w:tc>
        <w:tc>
          <w:tcPr>
            <w:tcW w:w="3245"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手机方式</w:t>
            </w:r>
          </w:p>
        </w:tc>
        <w:tc>
          <w:tcPr>
            <w:tcW w:w="3245"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中继线路方案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登录方式</w:t>
            </w: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客服账号一对一绑定模式</w:t>
            </w:r>
          </w:p>
        </w:tc>
        <w:tc>
          <w:tcPr>
            <w:tcW w:w="3245"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一个客服账号绑定一个呼叫中心VOIP分机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动态绑定模式</w:t>
            </w:r>
          </w:p>
        </w:tc>
        <w:tc>
          <w:tcPr>
            <w:tcW w:w="3245"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支持客服倒班模式，客服账号登录时动态绑定呼叫中心VOIP分机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336"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呼叫客服工作台</w:t>
            </w:r>
          </w:p>
        </w:tc>
        <w:tc>
          <w:tcPr>
            <w:tcW w:w="1664"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电话工具条</w:t>
            </w: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签入/签出</w:t>
            </w:r>
          </w:p>
        </w:tc>
        <w:tc>
          <w:tcPr>
            <w:tcW w:w="3245"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签入/签出呼叫中心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坐席状态自定义</w:t>
            </w:r>
          </w:p>
        </w:tc>
        <w:tc>
          <w:tcPr>
            <w:tcW w:w="3245"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可在后台通过自定义开关的方式添加多种状态，包括：忙碌、小休、会议、用餐、培训等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来电接听</w:t>
            </w:r>
          </w:p>
        </w:tc>
        <w:tc>
          <w:tcPr>
            <w:tcW w:w="3245"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支持来电点击接听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外呼拨号</w:t>
            </w:r>
          </w:p>
        </w:tc>
        <w:tc>
          <w:tcPr>
            <w:tcW w:w="3245"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支持输入号码或虚拟键拨打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呼叫转接</w:t>
            </w:r>
          </w:p>
        </w:tc>
        <w:tc>
          <w:tcPr>
            <w:tcW w:w="3245"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支持转接到客服，客服组，第三方号码，一个呼叫在不同坐席之间转移时，相应的呼叫数据及用户信息可同步地随呼叫转移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呼叫保持</w:t>
            </w:r>
          </w:p>
        </w:tc>
        <w:tc>
          <w:tcPr>
            <w:tcW w:w="3245"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支持呼叫保持和恢复通话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呼叫咨询</w:t>
            </w:r>
          </w:p>
        </w:tc>
        <w:tc>
          <w:tcPr>
            <w:tcW w:w="3245"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支持呼叫咨询客服/第三方号码，形成三方通话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内部呼叫</w:t>
            </w:r>
          </w:p>
        </w:tc>
        <w:tc>
          <w:tcPr>
            <w:tcW w:w="3245"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支持客服与客服之间的内部通话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来电处理</w:t>
            </w: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来电弹屏</w:t>
            </w:r>
          </w:p>
        </w:tc>
        <w:tc>
          <w:tcPr>
            <w:tcW w:w="3245"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来电弹屏包括8个模块：标签页、客户信息、创建工单、iFrame页面嵌入、通话详情、服务总结、联系计划、历史动态（呼叫、工单、IM、机器人IM），支持弹屏开关设置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iframe方式页面对接</w:t>
            </w:r>
          </w:p>
        </w:tc>
        <w:tc>
          <w:tcPr>
            <w:tcW w:w="3245"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可以实现非常灵活的业务对接，便于坐席在接听电话的时候查看已有业务数据和同步记录到自有系统中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查看IVR按键轨迹</w:t>
            </w:r>
          </w:p>
        </w:tc>
        <w:tc>
          <w:tcPr>
            <w:tcW w:w="3245"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在呼叫来电弹屏时，可以查看客户当次的IVR按键轨迹，便于当前服务坐席更了解用户的意向动态，及时调整自己的服务话术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服务总结登记</w:t>
            </w:r>
          </w:p>
        </w:tc>
        <w:tc>
          <w:tcPr>
            <w:tcW w:w="3245"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支持为每通电话记录服务小记，服务总结支持自定义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创建联系计划</w:t>
            </w:r>
          </w:p>
        </w:tc>
        <w:tc>
          <w:tcPr>
            <w:tcW w:w="3245"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支持添加用户联系计划，根据提醒时间自动提示客服联系客户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创建工单</w:t>
            </w:r>
          </w:p>
        </w:tc>
        <w:tc>
          <w:tcPr>
            <w:tcW w:w="3245"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自动同步客户信息和来电信息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来电号码设置黑名单</w:t>
            </w:r>
          </w:p>
        </w:tc>
        <w:tc>
          <w:tcPr>
            <w:tcW w:w="3245"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具有拉黑权限的客服人员可以根据来电情况，将来电置为黑名单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我的通话</w:t>
            </w: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我的通话概览</w:t>
            </w:r>
          </w:p>
        </w:tc>
        <w:tc>
          <w:tcPr>
            <w:tcW w:w="3245"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查看我的呼入、呼出及工作状态数据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我的通话记录</w:t>
            </w:r>
          </w:p>
        </w:tc>
        <w:tc>
          <w:tcPr>
            <w:tcW w:w="3245"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查看我的通话记录明细（包括咨询\转接记录）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我的未接来电</w:t>
            </w:r>
          </w:p>
        </w:tc>
        <w:tc>
          <w:tcPr>
            <w:tcW w:w="3245"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查看我的未接来电明细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我的联系计划</w:t>
            </w:r>
          </w:p>
        </w:tc>
        <w:tc>
          <w:tcPr>
            <w:tcW w:w="3245"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查看我创建的联系计划明细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个人信息</w:t>
            </w: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修改个人信息</w:t>
            </w:r>
          </w:p>
        </w:tc>
        <w:tc>
          <w:tcPr>
            <w:tcW w:w="3245"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可修改姓名、手机号码；个人信息的手机号码即手机方式登录时对应的号码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查看30日呼叫状态记录</w:t>
            </w:r>
          </w:p>
        </w:tc>
        <w:tc>
          <w:tcPr>
            <w:tcW w:w="3245"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可查看30日内电话状态的变化明细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336"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班长监控</w:t>
            </w:r>
          </w:p>
        </w:tc>
        <w:tc>
          <w:tcPr>
            <w:tcW w:w="1664"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话务实时监控</w:t>
            </w: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整体话务概览</w:t>
            </w:r>
          </w:p>
        </w:tc>
        <w:tc>
          <w:tcPr>
            <w:tcW w:w="3245"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查看当前整体话务实时数据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按技能队列监控</w:t>
            </w:r>
          </w:p>
        </w:tc>
        <w:tc>
          <w:tcPr>
            <w:tcW w:w="3245"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按技能组查看当前排队及接待情况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24小时呼入/呼出数据</w:t>
            </w:r>
          </w:p>
        </w:tc>
        <w:tc>
          <w:tcPr>
            <w:tcW w:w="3245"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查看24小时呼入及呼出累计数据及呼入/呼出的趋势图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客服实时监控、管理</w:t>
            </w: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呼叫客服监控</w:t>
            </w:r>
          </w:p>
        </w:tc>
        <w:tc>
          <w:tcPr>
            <w:tcW w:w="3245"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实时监控客服当前的状态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监听</w:t>
            </w:r>
          </w:p>
        </w:tc>
        <w:tc>
          <w:tcPr>
            <w:tcW w:w="3245"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管理员监听用户与坐席的通话，坐席无感知。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强插</w:t>
            </w:r>
          </w:p>
        </w:tc>
        <w:tc>
          <w:tcPr>
            <w:tcW w:w="3245"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在监听中使用，如管理员认为有必要介入座席与用户的通话时，可以强插到该通话中，强插后即为三方通话。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强拆</w:t>
            </w:r>
          </w:p>
        </w:tc>
        <w:tc>
          <w:tcPr>
            <w:tcW w:w="3245"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在强插后使用，管理员可以强拆某座席与用户的通话，强拆后，坐席结束通话，管理员接管与用户的通话。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强制置忙/置闲</w:t>
            </w:r>
          </w:p>
        </w:tc>
        <w:tc>
          <w:tcPr>
            <w:tcW w:w="3245"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管理员可以对客服的在线状态更改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强制签出</w:t>
            </w:r>
          </w:p>
        </w:tc>
        <w:tc>
          <w:tcPr>
            <w:tcW w:w="3245"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管理员可以将客服强制下线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336"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呼叫配置管理</w:t>
            </w:r>
          </w:p>
        </w:tc>
        <w:tc>
          <w:tcPr>
            <w:tcW w:w="1664"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技能组管理</w:t>
            </w: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呼叫技能组设置</w:t>
            </w:r>
          </w:p>
        </w:tc>
        <w:tc>
          <w:tcPr>
            <w:tcW w:w="3245" w:type="dxa"/>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电销技能组设置</w:t>
            </w:r>
          </w:p>
        </w:tc>
        <w:tc>
          <w:tcPr>
            <w:tcW w:w="3245" w:type="dxa"/>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话机账号设置</w:t>
            </w: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客服账号一对一绑定模式</w:t>
            </w:r>
          </w:p>
        </w:tc>
        <w:tc>
          <w:tcPr>
            <w:tcW w:w="3245"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支持将客服账号绑定到一个呼叫中心VOIP分机，配置VOIP分机的客服账号，即可登录呼叫中心；支持批量配置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动态绑定模式</w:t>
            </w:r>
          </w:p>
        </w:tc>
        <w:tc>
          <w:tcPr>
            <w:tcW w:w="3245"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支持客服倒班模式，客服账号登录时输入VOIP分机进行动态绑定，可用SIP电话拨打查询分机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通话设置</w:t>
            </w: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弹屏设置</w:t>
            </w:r>
          </w:p>
        </w:tc>
        <w:tc>
          <w:tcPr>
            <w:tcW w:w="3245"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支持设置来电及外呼的弹屏模式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录音设置</w:t>
            </w:r>
          </w:p>
        </w:tc>
        <w:tc>
          <w:tcPr>
            <w:tcW w:w="3245"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支持设置单声道混音和双声道录音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溢出设置</w:t>
            </w: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顺振溢出</w:t>
            </w:r>
          </w:p>
        </w:tc>
        <w:tc>
          <w:tcPr>
            <w:tcW w:w="3245"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开启后，振铃超过设置时间未接听，将自动分配到客服组其他空闲客服接听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SIP话机异常溢出</w:t>
            </w:r>
          </w:p>
        </w:tc>
        <w:tc>
          <w:tcPr>
            <w:tcW w:w="3245"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开启后，当客服SIP话机出现异常(例如，设置免打扰、话机注册掉线等)，将自动分配到客服组内其他空闲客服接听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336"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智能路由</w:t>
            </w:r>
          </w:p>
        </w:tc>
        <w:tc>
          <w:tcPr>
            <w:tcW w:w="1664"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基础分配</w:t>
            </w: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优先分配给接听电话最少的客服</w:t>
            </w:r>
          </w:p>
        </w:tc>
        <w:tc>
          <w:tcPr>
            <w:tcW w:w="3245"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当客户来电时，会优先分配给当天接听量最少的坐席进行接待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优先分配给空闲时间最长的客服</w:t>
            </w:r>
          </w:p>
        </w:tc>
        <w:tc>
          <w:tcPr>
            <w:tcW w:w="3245"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当客户来电时，会优先分配给空闲时间最长的坐席进行接待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按客服轮询分配</w:t>
            </w:r>
          </w:p>
        </w:tc>
        <w:tc>
          <w:tcPr>
            <w:tcW w:w="3245"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当客户来电时，按坐席账号创建时间由先到后 , 轮流分配到空闲的坐席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智能路由</w:t>
            </w: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按客户属性分配队列</w:t>
            </w:r>
          </w:p>
        </w:tc>
        <w:tc>
          <w:tcPr>
            <w:tcW w:w="3245" w:type="dxa"/>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按号码归属地分配队列</w:t>
            </w:r>
          </w:p>
        </w:tc>
        <w:tc>
          <w:tcPr>
            <w:tcW w:w="3245" w:type="dxa"/>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按IVR按键业务</w:t>
            </w:r>
          </w:p>
        </w:tc>
        <w:tc>
          <w:tcPr>
            <w:tcW w:w="3245"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支持按IVR转人工节点设置智能路由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黑名单策略</w:t>
            </w: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黑名单限制转人工</w:t>
            </w:r>
          </w:p>
        </w:tc>
        <w:tc>
          <w:tcPr>
            <w:tcW w:w="3245" w:type="dxa"/>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指定优先分配</w:t>
            </w: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熟客优先接待</w:t>
            </w:r>
          </w:p>
        </w:tc>
        <w:tc>
          <w:tcPr>
            <w:tcW w:w="3245"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当客户来电时，会优先分配给在30天内最后一次与该客户进行沟通的坐席进行接待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VIP客户优先排队</w:t>
            </w:r>
          </w:p>
        </w:tc>
        <w:tc>
          <w:tcPr>
            <w:tcW w:w="3245"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当VIP客户进入排队队列中，VIP客户将优先排队，支持基于客户中心或第三方接口判断VIP客户。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指定坐席接待</w:t>
            </w:r>
          </w:p>
        </w:tc>
        <w:tc>
          <w:tcPr>
            <w:tcW w:w="3245"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可预先设置指定专属坐席接待对应客户，当客户打电话进来时优先分配指定专属坐席接待；支持导入和接口两种模式。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队列溢出策略</w:t>
            </w: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智能选择排队时间最短的队列</w:t>
            </w:r>
          </w:p>
        </w:tc>
        <w:tc>
          <w:tcPr>
            <w:tcW w:w="3245" w:type="dxa"/>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当前技能组中最长排队时长超过*秒时溢出</w:t>
            </w:r>
          </w:p>
        </w:tc>
        <w:tc>
          <w:tcPr>
            <w:tcW w:w="3245" w:type="dxa"/>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当下级技能组存在空闲坐席时溢出</w:t>
            </w:r>
          </w:p>
        </w:tc>
        <w:tc>
          <w:tcPr>
            <w:tcW w:w="3245" w:type="dxa"/>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336"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IVR流程管理</w:t>
            </w:r>
          </w:p>
        </w:tc>
        <w:tc>
          <w:tcPr>
            <w:tcW w:w="1664"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IVR基础设置</w:t>
            </w: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非服务时间设置</w:t>
            </w:r>
          </w:p>
        </w:tc>
        <w:tc>
          <w:tcPr>
            <w:tcW w:w="3245"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设置非服务时间播放的语音内容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客户排队策略设置</w:t>
            </w:r>
          </w:p>
        </w:tc>
        <w:tc>
          <w:tcPr>
            <w:tcW w:w="3245"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设置排队超时时长，以及重复排队次数、排队超时提示音、排队超时挂断前提示音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按键错误提示设置</w:t>
            </w:r>
          </w:p>
        </w:tc>
        <w:tc>
          <w:tcPr>
            <w:tcW w:w="3245"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设置按键错误的提示语音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满意度评价设置</w:t>
            </w:r>
          </w:p>
        </w:tc>
        <w:tc>
          <w:tcPr>
            <w:tcW w:w="3245"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可设置二级、三级及五级满意度评价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转人工播报内容设置</w:t>
            </w:r>
          </w:p>
        </w:tc>
        <w:tc>
          <w:tcPr>
            <w:tcW w:w="3245"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可设置转人工时播报工号及通话被录音提示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语音留言</w:t>
            </w: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语音留言设置</w:t>
            </w:r>
          </w:p>
        </w:tc>
        <w:tc>
          <w:tcPr>
            <w:tcW w:w="3245"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支持在非工作时间、坐席不在线、客户排队超时设置语音留言；语音留言自动转工单。语音留言支持滴声和按*键留言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IVR流程设置</w:t>
            </w: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支持日常IVR/特殊时间IVR配置</w:t>
            </w:r>
          </w:p>
        </w:tc>
        <w:tc>
          <w:tcPr>
            <w:tcW w:w="3245"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支持播放语音、文本语音、采集输入、按键菜单、转人工队列等多种方式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支持多套IVR配置（按服务号码）</w:t>
            </w:r>
          </w:p>
        </w:tc>
        <w:tc>
          <w:tcPr>
            <w:tcW w:w="3245"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支持按服务号码设置多套IVR，可以设置启用、停用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支持服务时间配置（支持4个时间段）</w:t>
            </w:r>
          </w:p>
        </w:tc>
        <w:tc>
          <w:tcPr>
            <w:tcW w:w="3245"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支持对每个IVR设置每天的多个服务时间段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支持5级导航</w:t>
            </w:r>
          </w:p>
        </w:tc>
        <w:tc>
          <w:tcPr>
            <w:tcW w:w="3245" w:type="dxa"/>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支持通过按键输入进行信息验证</w:t>
            </w:r>
          </w:p>
        </w:tc>
        <w:tc>
          <w:tcPr>
            <w:tcW w:w="3245"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支持采集按键输入，并将按键输入通过接口方式对接第三方系统进行验证，并根据验证结果播放及流转不同的IVR节点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自定义语音库</w:t>
            </w: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基础语音库</w:t>
            </w:r>
          </w:p>
        </w:tc>
        <w:tc>
          <w:tcPr>
            <w:tcW w:w="3245"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支持上传非服务时间、留言提示、客户等待语音、按键错误提示语音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自定义IVR流程语音库</w:t>
            </w:r>
          </w:p>
        </w:tc>
        <w:tc>
          <w:tcPr>
            <w:tcW w:w="3245"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支持上传IVR流程中的各类语音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336"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Cs w:val="21"/>
                <w:lang w:eastAsia="zh-CN" w:bidi="ar"/>
              </w:rPr>
            </w:pPr>
            <w:r>
              <w:rPr>
                <w:rFonts w:hint="eastAsia" w:ascii="仿宋_GB2312" w:hAnsi="仿宋_GB2312" w:eastAsia="仿宋_GB2312" w:cs="仿宋_GB2312"/>
                <w:color w:val="000000"/>
                <w:kern w:val="0"/>
                <w:szCs w:val="21"/>
                <w:lang w:bidi="ar"/>
              </w:rPr>
              <w:t>号码管理</w:t>
            </w:r>
          </w:p>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（配置外显策略）</w:t>
            </w:r>
          </w:p>
        </w:tc>
        <w:tc>
          <w:tcPr>
            <w:tcW w:w="1664"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基础外显规则</w:t>
            </w: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随机分配</w:t>
            </w:r>
          </w:p>
        </w:tc>
        <w:tc>
          <w:tcPr>
            <w:tcW w:w="3245"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已申请多个中继号码，外呼时可随机分配外显号码给客服使用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轮流分配</w:t>
            </w:r>
          </w:p>
        </w:tc>
        <w:tc>
          <w:tcPr>
            <w:tcW w:w="3245"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已申请多个中继号码，外呼时可轮流分配固定顺序的外显号码给客服使用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归属地优先分配</w:t>
            </w:r>
          </w:p>
        </w:tc>
        <w:tc>
          <w:tcPr>
            <w:tcW w:w="3245"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已申请多个中继号码，外呼时优先将与被叫号码相同归属的外显号码分配给客服使用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自定义外显规则</w:t>
            </w: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按客服</w:t>
            </w:r>
          </w:p>
        </w:tc>
        <w:tc>
          <w:tcPr>
            <w:tcW w:w="3245"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支持按客服分配外显号码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按技能组</w:t>
            </w:r>
          </w:p>
        </w:tc>
        <w:tc>
          <w:tcPr>
            <w:tcW w:w="3245"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支持按技能组分配外显号码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按地理位置</w:t>
            </w:r>
          </w:p>
        </w:tc>
        <w:tc>
          <w:tcPr>
            <w:tcW w:w="3245"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支持按区域分配外显号码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查看号码</w:t>
            </w: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查看号码详情</w:t>
            </w:r>
          </w:p>
        </w:tc>
        <w:tc>
          <w:tcPr>
            <w:tcW w:w="3245"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查看已申请的多个中继号码详情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336"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呼叫统计报表</w:t>
            </w:r>
          </w:p>
        </w:tc>
        <w:tc>
          <w:tcPr>
            <w:tcW w:w="166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通话报表</w:t>
            </w: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通话报表</w:t>
            </w:r>
          </w:p>
        </w:tc>
        <w:tc>
          <w:tcPr>
            <w:tcW w:w="3245"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支持自定义指标概览；支持任意时间段查询；支持数据概览及折线趋势图形；支持通话日报及数据导出；支持录音倍速播放。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坐席统计</w:t>
            </w: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坐席工作效率</w:t>
            </w:r>
          </w:p>
        </w:tc>
        <w:tc>
          <w:tcPr>
            <w:tcW w:w="3245"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支持数据概览对比和个人趋势分析；支持图形及列表展示；支持自定义字段和数据导出。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坐席工作状态</w:t>
            </w:r>
          </w:p>
        </w:tc>
        <w:tc>
          <w:tcPr>
            <w:tcW w:w="3245"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支持坐席状态时长、利用率、签入签出时间的统计及导出；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技能组报表</w:t>
            </w:r>
          </w:p>
        </w:tc>
        <w:tc>
          <w:tcPr>
            <w:tcW w:w="3245"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支持按技能组的工作效率统计；支持数据概览对比和各组趋势分析；支持图形及列表展示；支持自定义字段和数据导出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通话记录查询</w:t>
            </w: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通话记录查</w:t>
            </w:r>
          </w:p>
        </w:tc>
        <w:tc>
          <w:tcPr>
            <w:tcW w:w="3245"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支持多维度筛选和自定义字段；支持通话记录明细导出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录音导出</w:t>
            </w:r>
          </w:p>
        </w:tc>
        <w:tc>
          <w:tcPr>
            <w:tcW w:w="3245"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支持录音按页批量导出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满意度统计</w:t>
            </w: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满意度记录查询</w:t>
            </w:r>
          </w:p>
        </w:tc>
        <w:tc>
          <w:tcPr>
            <w:tcW w:w="3245"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支持满意度明细记录查询及导出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满意度统计</w:t>
            </w:r>
          </w:p>
        </w:tc>
        <w:tc>
          <w:tcPr>
            <w:tcW w:w="3245"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支持按坐席的满意度统计分析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呼入统计</w:t>
            </w: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呼入呼损统计</w:t>
            </w:r>
          </w:p>
        </w:tc>
        <w:tc>
          <w:tcPr>
            <w:tcW w:w="3245"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支持呼入呼损及细分趋势；支持图形及列表展示；支持数据导出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按地域分布统计</w:t>
            </w:r>
          </w:p>
        </w:tc>
        <w:tc>
          <w:tcPr>
            <w:tcW w:w="3245"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支持按地域的呼入呼损统计；支持图形及列表展示；支持数据导出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呼出统计</w:t>
            </w: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呼出呼损统计</w:t>
            </w:r>
          </w:p>
        </w:tc>
        <w:tc>
          <w:tcPr>
            <w:tcW w:w="3245"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支持呼出呼损及细分趋势；支持图形及列表展示；支持数据导出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按地域分布统计</w:t>
            </w:r>
          </w:p>
        </w:tc>
        <w:tc>
          <w:tcPr>
            <w:tcW w:w="3245"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支持按地域的呼出呼损统计；支持图形及列表展示；支持数据导出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服务总结统计</w:t>
            </w: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服务总结统计</w:t>
            </w:r>
          </w:p>
        </w:tc>
        <w:tc>
          <w:tcPr>
            <w:tcW w:w="3245"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支持按所属业务及各级业务类型统计服务总结记录数据，支持数据导出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IVR轨迹分析</w:t>
            </w: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IVR轨迹分析</w:t>
            </w:r>
          </w:p>
        </w:tc>
        <w:tc>
          <w:tcPr>
            <w:tcW w:w="3245"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支持按时间段和IVR统计分析各层级、各节点的流入数、流入率、放弃数、放弃率等指标，支持数据导出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336"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录音质检</w:t>
            </w:r>
          </w:p>
        </w:tc>
        <w:tc>
          <w:tcPr>
            <w:tcW w:w="166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评分方案设置</w:t>
            </w: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评分方案设置</w:t>
            </w:r>
          </w:p>
        </w:tc>
        <w:tc>
          <w:tcPr>
            <w:tcW w:w="3245"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支持自定义设置录音质检方案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录音质检</w:t>
            </w: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质检申诉管理</w:t>
            </w:r>
          </w:p>
        </w:tc>
        <w:tc>
          <w:tcPr>
            <w:tcW w:w="3245"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设置审核流程、申诉窗口期、申诉上限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通话质检</w:t>
            </w:r>
          </w:p>
        </w:tc>
        <w:tc>
          <w:tcPr>
            <w:tcW w:w="3245"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根据条件筛选录音，按质检方案进行质检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呼叫客服得分</w:t>
            </w:r>
          </w:p>
        </w:tc>
        <w:tc>
          <w:tcPr>
            <w:tcW w:w="3245"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呼叫客服质检得分情况统计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通话质检记录</w:t>
            </w:r>
          </w:p>
        </w:tc>
        <w:tc>
          <w:tcPr>
            <w:tcW w:w="3245"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质检结果明细查看及数据导出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质检申诉</w:t>
            </w:r>
          </w:p>
        </w:tc>
        <w:tc>
          <w:tcPr>
            <w:tcW w:w="3245"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质检申诉、历史结果查询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336"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质检</w:t>
            </w:r>
          </w:p>
        </w:tc>
        <w:tc>
          <w:tcPr>
            <w:tcW w:w="1664"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质检方案设置</w:t>
            </w: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可设置多个</w:t>
            </w:r>
          </w:p>
        </w:tc>
        <w:tc>
          <w:tcPr>
            <w:tcW w:w="3245" w:type="dxa"/>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可设置标准分、附加加分项、附加减分项</w:t>
            </w:r>
          </w:p>
        </w:tc>
        <w:tc>
          <w:tcPr>
            <w:tcW w:w="3245" w:type="dxa"/>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分数段标签</w:t>
            </w:r>
          </w:p>
        </w:tc>
        <w:tc>
          <w:tcPr>
            <w:tcW w:w="3245" w:type="dxa"/>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可设置标签</w:t>
            </w:r>
          </w:p>
        </w:tc>
        <w:tc>
          <w:tcPr>
            <w:tcW w:w="3245" w:type="dxa"/>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质检抽样</w:t>
            </w: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按照各类查询条件抽样待质检内容</w:t>
            </w:r>
          </w:p>
        </w:tc>
        <w:tc>
          <w:tcPr>
            <w:tcW w:w="3245" w:type="dxa"/>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可以创建常用抽样方案</w:t>
            </w:r>
          </w:p>
        </w:tc>
        <w:tc>
          <w:tcPr>
            <w:tcW w:w="3245" w:type="dxa"/>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可以删除常用抽样方案</w:t>
            </w:r>
          </w:p>
        </w:tc>
        <w:tc>
          <w:tcPr>
            <w:tcW w:w="3245" w:type="dxa"/>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质检评分</w:t>
            </w: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可以执行重检</w:t>
            </w:r>
          </w:p>
        </w:tc>
        <w:tc>
          <w:tcPr>
            <w:tcW w:w="3245" w:type="dxa"/>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可以查看质检关联的工单</w:t>
            </w:r>
          </w:p>
        </w:tc>
        <w:tc>
          <w:tcPr>
            <w:tcW w:w="3245" w:type="dxa"/>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可以倍速播放录音</w:t>
            </w:r>
          </w:p>
        </w:tc>
        <w:tc>
          <w:tcPr>
            <w:tcW w:w="3245" w:type="dxa"/>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结果查询</w:t>
            </w: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查看会话质检结果</w:t>
            </w:r>
          </w:p>
        </w:tc>
        <w:tc>
          <w:tcPr>
            <w:tcW w:w="3245" w:type="dxa"/>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查看历史质检结果</w:t>
            </w:r>
          </w:p>
        </w:tc>
        <w:tc>
          <w:tcPr>
            <w:tcW w:w="3245" w:type="dxa"/>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查看历史申诉流转</w:t>
            </w:r>
          </w:p>
        </w:tc>
        <w:tc>
          <w:tcPr>
            <w:tcW w:w="3245" w:type="dxa"/>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导出质检结果详情</w:t>
            </w:r>
          </w:p>
        </w:tc>
        <w:tc>
          <w:tcPr>
            <w:tcW w:w="3245" w:type="dxa"/>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质检申诉管理</w:t>
            </w: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设置审核流程</w:t>
            </w:r>
          </w:p>
        </w:tc>
        <w:tc>
          <w:tcPr>
            <w:tcW w:w="3245" w:type="dxa"/>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设置申诉窗口期</w:t>
            </w:r>
          </w:p>
        </w:tc>
        <w:tc>
          <w:tcPr>
            <w:tcW w:w="3245" w:type="dxa"/>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设置申诉上限</w:t>
            </w:r>
          </w:p>
        </w:tc>
        <w:tc>
          <w:tcPr>
            <w:tcW w:w="3245" w:type="dxa"/>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质检申诉</w:t>
            </w: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发起申诉</w:t>
            </w:r>
          </w:p>
        </w:tc>
        <w:tc>
          <w:tcPr>
            <w:tcW w:w="3245" w:type="dxa"/>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申诉审核流程</w:t>
            </w:r>
          </w:p>
        </w:tc>
        <w:tc>
          <w:tcPr>
            <w:tcW w:w="3245" w:type="dxa"/>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申诉事件通知</w:t>
            </w:r>
          </w:p>
        </w:tc>
        <w:tc>
          <w:tcPr>
            <w:tcW w:w="3245" w:type="dxa"/>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质检统计</w:t>
            </w: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各类指标统计</w:t>
            </w:r>
          </w:p>
        </w:tc>
        <w:tc>
          <w:tcPr>
            <w:tcW w:w="3245" w:type="dxa"/>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客服质检得分明细</w:t>
            </w:r>
          </w:p>
        </w:tc>
        <w:tc>
          <w:tcPr>
            <w:tcW w:w="3245" w:type="dxa"/>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按质检方案查看各质检项得分情况</w:t>
            </w:r>
          </w:p>
        </w:tc>
        <w:tc>
          <w:tcPr>
            <w:tcW w:w="3245" w:type="dxa"/>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客服质检得分明细导出</w:t>
            </w:r>
          </w:p>
        </w:tc>
        <w:tc>
          <w:tcPr>
            <w:tcW w:w="3245" w:type="dxa"/>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技能组管理</w:t>
            </w: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技能组管理</w:t>
            </w:r>
          </w:p>
        </w:tc>
        <w:tc>
          <w:tcPr>
            <w:tcW w:w="3245"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支持创建呼叫和电销技能组，并将坐席加入/退出技能组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坐席管理</w:t>
            </w: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坐席管理</w:t>
            </w:r>
          </w:p>
        </w:tc>
        <w:tc>
          <w:tcPr>
            <w:tcW w:w="3245"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支持创建呼叫和电销坐席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分机账号管理</w:t>
            </w: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查询分机账号</w:t>
            </w:r>
          </w:p>
        </w:tc>
        <w:tc>
          <w:tcPr>
            <w:tcW w:w="3245"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查询绑定或未绑定的分机账号列表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查询坐席是否绑定分机账号</w:t>
            </w:r>
          </w:p>
        </w:tc>
        <w:tc>
          <w:tcPr>
            <w:tcW w:w="3245"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用于判断坐席是否已经绑定分机账号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绑定分机账号</w:t>
            </w:r>
          </w:p>
        </w:tc>
        <w:tc>
          <w:tcPr>
            <w:tcW w:w="3245"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用于为坐席绑定分机账号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解除分机账号绑定关系</w:t>
            </w:r>
          </w:p>
        </w:tc>
        <w:tc>
          <w:tcPr>
            <w:tcW w:w="3245"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用于为坐席解除绑定分机账号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解除分机账号的注册状态</w:t>
            </w:r>
          </w:p>
        </w:tc>
        <w:tc>
          <w:tcPr>
            <w:tcW w:w="3245"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将当前已经注册状态的分机账号变为未注册状态，并返回修改后的分机账号密码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查询在线分机账号</w:t>
            </w:r>
          </w:p>
        </w:tc>
        <w:tc>
          <w:tcPr>
            <w:tcW w:w="3245"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查询当前所有在线的话机信息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外显号码管理</w:t>
            </w: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查询外显号码</w:t>
            </w:r>
          </w:p>
        </w:tc>
        <w:tc>
          <w:tcPr>
            <w:tcW w:w="3245"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查询当前所有可使用的外显号码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删除外显号码</w:t>
            </w:r>
          </w:p>
        </w:tc>
        <w:tc>
          <w:tcPr>
            <w:tcW w:w="3245"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退回已分配的外显号码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呼叫JS组件</w:t>
            </w: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JS组件</w:t>
            </w:r>
          </w:p>
        </w:tc>
        <w:tc>
          <w:tcPr>
            <w:tcW w:w="3245"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集成登录、修改状态、呼入、呼出、保持、转接能力的JS组件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质检管理</w:t>
            </w: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获取呼叫质检结果</w:t>
            </w:r>
          </w:p>
        </w:tc>
        <w:tc>
          <w:tcPr>
            <w:tcW w:w="3245"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获取系统中呼叫质检结果信息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通话记录</w:t>
            </w: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获取通话记录</w:t>
            </w:r>
          </w:p>
        </w:tc>
        <w:tc>
          <w:tcPr>
            <w:tcW w:w="3245"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根据坐席账号获取通话记录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获取通话记录</w:t>
            </w:r>
          </w:p>
        </w:tc>
        <w:tc>
          <w:tcPr>
            <w:tcW w:w="3245"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根据callid获取通话记录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推送主话单信息</w:t>
            </w:r>
          </w:p>
        </w:tc>
        <w:tc>
          <w:tcPr>
            <w:tcW w:w="3245"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推送主话单信息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推送通话详情信息</w:t>
            </w:r>
          </w:p>
        </w:tc>
        <w:tc>
          <w:tcPr>
            <w:tcW w:w="3245"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推送全部话详细信息（包括主话单和子话单）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回调消息转发接口</w:t>
            </w:r>
          </w:p>
        </w:tc>
        <w:tc>
          <w:tcPr>
            <w:tcW w:w="3245"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所有呼叫中心产生的数据推送至企业预先提供的回调地址上（开始通话、用户振铃、用户接听、坐席振铃、坐席接通、转接坐席消息、转接连接、转接确认、转接挂断、通话结束、满意度调查）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支持第三方接口</w:t>
            </w: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IVR信息交互验证接口</w:t>
            </w:r>
          </w:p>
        </w:tc>
        <w:tc>
          <w:tcPr>
            <w:tcW w:w="3245"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根据来电号码和按键输入值进行校验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智能路由指定坐席接待接口</w:t>
            </w:r>
          </w:p>
        </w:tc>
        <w:tc>
          <w:tcPr>
            <w:tcW w:w="3245"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调用第三方接口，根据来电号码指定接待坐席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智能路由判断VIP客户接口</w:t>
            </w:r>
          </w:p>
        </w:tc>
        <w:tc>
          <w:tcPr>
            <w:tcW w:w="3245"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调用第三方接口，根据来电号码判断客户身份（VIP或普通）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336"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客户中心</w:t>
            </w:r>
          </w:p>
        </w:tc>
        <w:tc>
          <w:tcPr>
            <w:tcW w:w="1664"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公司列表</w:t>
            </w: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公司管理</w:t>
            </w:r>
          </w:p>
        </w:tc>
        <w:tc>
          <w:tcPr>
            <w:tcW w:w="3245"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支持单个新建和批量导入/导出公司信息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查看公司详情</w:t>
            </w:r>
          </w:p>
        </w:tc>
        <w:tc>
          <w:tcPr>
            <w:tcW w:w="3245"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可以查看公司名下的所有客户信息的详情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客户列表</w:t>
            </w: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自定义字段</w:t>
            </w:r>
          </w:p>
        </w:tc>
        <w:tc>
          <w:tcPr>
            <w:tcW w:w="3245"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支持客户中心自定义字段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客户管理</w:t>
            </w:r>
          </w:p>
        </w:tc>
        <w:tc>
          <w:tcPr>
            <w:tcW w:w="3245"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支持单个新建和批量导入/导出客户信息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黑名单管理</w:t>
            </w:r>
          </w:p>
        </w:tc>
        <w:tc>
          <w:tcPr>
            <w:tcW w:w="3245"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支持管理员将客户拉黑以及解除拉黑；查看黑名单信息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客户视图</w:t>
            </w:r>
          </w:p>
        </w:tc>
        <w:tc>
          <w:tcPr>
            <w:tcW w:w="3245"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支持查看客户详情；查看历史动态（联络记录、呼叫历史、工单、IM、其他记录及拉黑记录）及创建工单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客服中心支持增量更新</w:t>
            </w:r>
          </w:p>
        </w:tc>
        <w:tc>
          <w:tcPr>
            <w:tcW w:w="3245"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管理员可在客户中心列表里点击导入时，如果客户已存在，系统将自动更新导入表格里客户信息改变了的字段内容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发起外呼</w:t>
            </w:r>
          </w:p>
        </w:tc>
        <w:tc>
          <w:tcPr>
            <w:tcW w:w="3245"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支持查看客户信息时，直接发起外呼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336"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大屏监控</w:t>
            </w:r>
          </w:p>
        </w:tc>
        <w:tc>
          <w:tcPr>
            <w:tcW w:w="166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呼叫中心监控</w:t>
            </w: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呼叫监控</w:t>
            </w:r>
          </w:p>
        </w:tc>
        <w:tc>
          <w:tcPr>
            <w:tcW w:w="3245" w:type="dxa"/>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自定义数据</w:t>
            </w: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自定义指标、自定义技能组</w:t>
            </w:r>
          </w:p>
        </w:tc>
        <w:tc>
          <w:tcPr>
            <w:tcW w:w="3245"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数据指标分为自定义数据区和自定义图表区；技能组筛选可根据需求选择需要展示的技能组数据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大屏投放</w:t>
            </w: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可分享链接地址投放多个不同的大屏页面</w:t>
            </w:r>
          </w:p>
        </w:tc>
        <w:tc>
          <w:tcPr>
            <w:tcW w:w="3245" w:type="dxa"/>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336"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客服管理</w:t>
            </w:r>
          </w:p>
        </w:tc>
        <w:tc>
          <w:tcPr>
            <w:tcW w:w="166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客服列表</w:t>
            </w: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添加呼叫客服、创建、激活、启用停用</w:t>
            </w:r>
          </w:p>
        </w:tc>
        <w:tc>
          <w:tcPr>
            <w:tcW w:w="3245"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支持创建、激活、启用、停用呼叫客服；支持查看客服信息详情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组织架构</w:t>
            </w: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设置多级组织架构</w:t>
            </w:r>
          </w:p>
        </w:tc>
        <w:tc>
          <w:tcPr>
            <w:tcW w:w="3245"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支持创建多级部门及部门职能；支持设置部门客服人员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角色权限</w:t>
            </w: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设置呼叫角色权限</w:t>
            </w:r>
          </w:p>
        </w:tc>
        <w:tc>
          <w:tcPr>
            <w:tcW w:w="3245"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可区分呼叫管理员、呼叫客服分别设置对应的权限组；支持各权限组的成员管理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3" w:hRule="atLeast"/>
        </w:trPr>
        <w:tc>
          <w:tcPr>
            <w:tcW w:w="8304" w:type="dxa"/>
            <w:gridSpan w:val="4"/>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0"/>
                <w:sz w:val="20"/>
                <w:szCs w:val="20"/>
                <w:u w:val="none"/>
                <w:lang w:val="en-US" w:eastAsia="zh-CN" w:bidi="ar"/>
              </w:rPr>
            </w:pPr>
            <w:r>
              <w:rPr>
                <w:rFonts w:hint="eastAsia" w:ascii="仿宋_GB2312" w:hAnsi="仿宋_GB2312" w:eastAsia="仿宋_GB2312" w:cs="仿宋_GB2312"/>
                <w:b/>
                <w:bCs/>
                <w:i w:val="0"/>
                <w:iCs w:val="0"/>
                <w:color w:val="000000"/>
                <w:kern w:val="0"/>
                <w:sz w:val="20"/>
                <w:szCs w:val="20"/>
                <w:u w:val="none"/>
                <w:lang w:val="en-US" w:eastAsia="zh-CN" w:bidi="ar"/>
              </w:rPr>
              <w:t>2.在线客服系统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5" w:hRule="atLeast"/>
        </w:trPr>
        <w:tc>
          <w:tcPr>
            <w:tcW w:w="3000" w:type="dxa"/>
            <w:gridSpan w:val="2"/>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Cs w:val="21"/>
                <w:lang w:bidi="ar"/>
              </w:rPr>
              <w:t>功能类别</w:t>
            </w:r>
          </w:p>
        </w:tc>
        <w:tc>
          <w:tcPr>
            <w:tcW w:w="2059"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Cs w:val="21"/>
              </w:rPr>
              <w:t>功能点</w:t>
            </w:r>
          </w:p>
        </w:tc>
        <w:tc>
          <w:tcPr>
            <w:tcW w:w="324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Cs w:val="21"/>
                <w:lang w:bidi="ar"/>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5" w:hRule="atLeast"/>
        </w:trPr>
        <w:tc>
          <w:tcPr>
            <w:tcW w:w="1336" w:type="dxa"/>
            <w:vMerge w:val="restart"/>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企业管理</w:t>
            </w:r>
          </w:p>
        </w:tc>
        <w:tc>
          <w:tcPr>
            <w:tcW w:w="1664" w:type="dxa"/>
            <w:vMerge w:val="restart"/>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添加企业</w:t>
            </w:r>
          </w:p>
        </w:tc>
        <w:tc>
          <w:tcPr>
            <w:tcW w:w="2059"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填写企业信息</w:t>
            </w:r>
          </w:p>
        </w:tc>
        <w:tc>
          <w:tcPr>
            <w:tcW w:w="3245"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添加必要企业信息以创建子商户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2059"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填写坐席购买信息</w:t>
            </w:r>
          </w:p>
        </w:tc>
        <w:tc>
          <w:tcPr>
            <w:tcW w:w="3245"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填写子商户购买坐席信息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restart"/>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企业管理</w:t>
            </w:r>
          </w:p>
        </w:tc>
        <w:tc>
          <w:tcPr>
            <w:tcW w:w="2059"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筛选查询企业信息</w:t>
            </w:r>
          </w:p>
        </w:tc>
        <w:tc>
          <w:tcPr>
            <w:tcW w:w="3245"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通过创建时间等维度进行企业筛选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4"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2059"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查看企业信息</w:t>
            </w:r>
          </w:p>
        </w:tc>
        <w:tc>
          <w:tcPr>
            <w:tcW w:w="3245"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查看企业超管、联系电话等维度信息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5" w:hRule="atLeast"/>
        </w:trPr>
        <w:tc>
          <w:tcPr>
            <w:tcW w:w="1336" w:type="dxa"/>
            <w:vMerge w:val="restart"/>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系统设置</w:t>
            </w:r>
          </w:p>
        </w:tc>
        <w:tc>
          <w:tcPr>
            <w:tcW w:w="1664" w:type="dxa"/>
            <w:vMerge w:val="restart"/>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功能设置</w:t>
            </w:r>
          </w:p>
        </w:tc>
        <w:tc>
          <w:tcPr>
            <w:tcW w:w="2059"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对接页面</w:t>
            </w:r>
          </w:p>
        </w:tc>
        <w:tc>
          <w:tcPr>
            <w:tcW w:w="3245"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支持配置对接页面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2059"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上下班时间设置</w:t>
            </w:r>
          </w:p>
        </w:tc>
        <w:tc>
          <w:tcPr>
            <w:tcW w:w="3245" w:type="dxa"/>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2059"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自定义字段</w:t>
            </w:r>
          </w:p>
        </w:tc>
        <w:tc>
          <w:tcPr>
            <w:tcW w:w="3245" w:type="dxa"/>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2059"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客服自定义字段</w:t>
            </w:r>
          </w:p>
        </w:tc>
        <w:tc>
          <w:tcPr>
            <w:tcW w:w="3245" w:type="dxa"/>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restart"/>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支持渠道</w:t>
            </w:r>
          </w:p>
        </w:tc>
        <w:tc>
          <w:tcPr>
            <w:tcW w:w="2059"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SDK</w:t>
            </w:r>
          </w:p>
        </w:tc>
        <w:tc>
          <w:tcPr>
            <w:tcW w:w="3245"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支持平台对接 SDK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2059"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移动网站</w:t>
            </w:r>
          </w:p>
        </w:tc>
        <w:tc>
          <w:tcPr>
            <w:tcW w:w="3245"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支持平台对接移动网站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2059"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微信小程序原生</w:t>
            </w:r>
          </w:p>
        </w:tc>
        <w:tc>
          <w:tcPr>
            <w:tcW w:w="3245"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支持平台对接微信小程序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restart"/>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在线设置</w:t>
            </w:r>
          </w:p>
        </w:tc>
        <w:tc>
          <w:tcPr>
            <w:tcW w:w="2059"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客服工作台设置</w:t>
            </w:r>
          </w:p>
        </w:tc>
        <w:tc>
          <w:tcPr>
            <w:tcW w:w="3245" w:type="dxa"/>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2059"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在线客服分配</w:t>
            </w:r>
          </w:p>
        </w:tc>
        <w:tc>
          <w:tcPr>
            <w:tcW w:w="3245" w:type="dxa"/>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2059"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会话自动应答</w:t>
            </w:r>
          </w:p>
        </w:tc>
        <w:tc>
          <w:tcPr>
            <w:tcW w:w="3245" w:type="dxa"/>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2059"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询前表单设置</w:t>
            </w:r>
          </w:p>
        </w:tc>
        <w:tc>
          <w:tcPr>
            <w:tcW w:w="3245" w:type="dxa"/>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2059"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留言设置</w:t>
            </w:r>
          </w:p>
        </w:tc>
        <w:tc>
          <w:tcPr>
            <w:tcW w:w="3245" w:type="dxa"/>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2059"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人工满意度评价设置</w:t>
            </w:r>
          </w:p>
        </w:tc>
        <w:tc>
          <w:tcPr>
            <w:tcW w:w="3245" w:type="dxa"/>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2059"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自定义客服端表情</w:t>
            </w:r>
          </w:p>
        </w:tc>
        <w:tc>
          <w:tcPr>
            <w:tcW w:w="3245" w:type="dxa"/>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2059"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会话报警设置</w:t>
            </w:r>
          </w:p>
        </w:tc>
        <w:tc>
          <w:tcPr>
            <w:tcW w:w="3245" w:type="dxa"/>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2059"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在线技能组设置</w:t>
            </w:r>
          </w:p>
        </w:tc>
        <w:tc>
          <w:tcPr>
            <w:tcW w:w="3245" w:type="dxa"/>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2059"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敏感词设置</w:t>
            </w:r>
          </w:p>
        </w:tc>
        <w:tc>
          <w:tcPr>
            <w:tcW w:w="3245" w:type="dxa"/>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2059"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接口推送设置</w:t>
            </w:r>
          </w:p>
        </w:tc>
        <w:tc>
          <w:tcPr>
            <w:tcW w:w="3245" w:type="dxa"/>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restart"/>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工单</w:t>
            </w:r>
          </w:p>
        </w:tc>
        <w:tc>
          <w:tcPr>
            <w:tcW w:w="2059"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工单设置</w:t>
            </w:r>
          </w:p>
        </w:tc>
        <w:tc>
          <w:tcPr>
            <w:tcW w:w="3245" w:type="dxa"/>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2059"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工单技能组设置</w:t>
            </w:r>
          </w:p>
        </w:tc>
        <w:tc>
          <w:tcPr>
            <w:tcW w:w="3245" w:type="dxa"/>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2059"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工单上下班时间设置</w:t>
            </w:r>
          </w:p>
        </w:tc>
        <w:tc>
          <w:tcPr>
            <w:tcW w:w="3245" w:type="dxa"/>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2059"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工单插件</w:t>
            </w:r>
          </w:p>
        </w:tc>
        <w:tc>
          <w:tcPr>
            <w:tcW w:w="3245" w:type="dxa"/>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2059"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反馈标签</w:t>
            </w:r>
          </w:p>
        </w:tc>
        <w:tc>
          <w:tcPr>
            <w:tcW w:w="3245" w:type="dxa"/>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2059"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工单预设回复设置</w:t>
            </w:r>
          </w:p>
        </w:tc>
        <w:tc>
          <w:tcPr>
            <w:tcW w:w="3245" w:type="dxa"/>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2059"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留言模板设置</w:t>
            </w:r>
          </w:p>
        </w:tc>
        <w:tc>
          <w:tcPr>
            <w:tcW w:w="3245" w:type="dxa"/>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2059"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自定义邮件模版</w:t>
            </w:r>
          </w:p>
        </w:tc>
        <w:tc>
          <w:tcPr>
            <w:tcW w:w="3245" w:type="dxa"/>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2059"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工单自定义字段</w:t>
            </w:r>
          </w:p>
        </w:tc>
        <w:tc>
          <w:tcPr>
            <w:tcW w:w="3245" w:type="dxa"/>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2059"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工单自定义模板</w:t>
            </w:r>
          </w:p>
        </w:tc>
        <w:tc>
          <w:tcPr>
            <w:tcW w:w="3245" w:type="dxa"/>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2059"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工单自定义分类</w:t>
            </w:r>
          </w:p>
        </w:tc>
        <w:tc>
          <w:tcPr>
            <w:tcW w:w="3245" w:type="dxa"/>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2059"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工单满意度设置</w:t>
            </w:r>
          </w:p>
        </w:tc>
        <w:tc>
          <w:tcPr>
            <w:tcW w:w="3245" w:type="dxa"/>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2059"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流转触发器</w:t>
            </w:r>
          </w:p>
        </w:tc>
        <w:tc>
          <w:tcPr>
            <w:tcW w:w="3245" w:type="dxa"/>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2059"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定时触发器</w:t>
            </w:r>
          </w:p>
        </w:tc>
        <w:tc>
          <w:tcPr>
            <w:tcW w:w="3245" w:type="dxa"/>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2059"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工单处理时效（SLA）</w:t>
            </w:r>
          </w:p>
        </w:tc>
        <w:tc>
          <w:tcPr>
            <w:tcW w:w="3245" w:type="dxa"/>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restart"/>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在线机器人</w:t>
            </w:r>
          </w:p>
        </w:tc>
        <w:tc>
          <w:tcPr>
            <w:tcW w:w="2059"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机器人信息</w:t>
            </w:r>
          </w:p>
        </w:tc>
        <w:tc>
          <w:tcPr>
            <w:tcW w:w="3245" w:type="dxa"/>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2059"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智能优化策略</w:t>
            </w:r>
          </w:p>
        </w:tc>
        <w:tc>
          <w:tcPr>
            <w:tcW w:w="3245" w:type="dxa"/>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2059"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关键词屏蔽</w:t>
            </w:r>
          </w:p>
        </w:tc>
        <w:tc>
          <w:tcPr>
            <w:tcW w:w="3245" w:type="dxa"/>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2059"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转人工关键词设置</w:t>
            </w:r>
          </w:p>
        </w:tc>
        <w:tc>
          <w:tcPr>
            <w:tcW w:w="3245" w:type="dxa"/>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restart"/>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客服管理</w:t>
            </w:r>
          </w:p>
        </w:tc>
        <w:tc>
          <w:tcPr>
            <w:tcW w:w="2059"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客服列表</w:t>
            </w:r>
          </w:p>
        </w:tc>
        <w:tc>
          <w:tcPr>
            <w:tcW w:w="3245" w:type="dxa"/>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2059"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组织架构</w:t>
            </w:r>
          </w:p>
        </w:tc>
        <w:tc>
          <w:tcPr>
            <w:tcW w:w="3245" w:type="dxa"/>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2059"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角色权限管理</w:t>
            </w:r>
          </w:p>
        </w:tc>
        <w:tc>
          <w:tcPr>
            <w:tcW w:w="3245" w:type="dxa"/>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账户</w:t>
            </w:r>
          </w:p>
        </w:tc>
        <w:tc>
          <w:tcPr>
            <w:tcW w:w="2059"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客服账户</w:t>
            </w:r>
          </w:p>
        </w:tc>
        <w:tc>
          <w:tcPr>
            <w:tcW w:w="3245" w:type="dxa"/>
            <w:shd w:val="clear" w:color="auto" w:fill="auto"/>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5" w:hRule="atLeast"/>
        </w:trPr>
        <w:tc>
          <w:tcPr>
            <w:tcW w:w="1336" w:type="dxa"/>
            <w:vMerge w:val="restart"/>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首页</w:t>
            </w:r>
          </w:p>
        </w:tc>
        <w:tc>
          <w:tcPr>
            <w:tcW w:w="1664" w:type="dxa"/>
            <w:vMerge w:val="restart"/>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平台监控</w:t>
            </w:r>
          </w:p>
        </w:tc>
        <w:tc>
          <w:tcPr>
            <w:tcW w:w="2059" w:type="dxa"/>
            <w:vMerge w:val="restart"/>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平台所有企业监控看板</w:t>
            </w:r>
          </w:p>
        </w:tc>
        <w:tc>
          <w:tcPr>
            <w:tcW w:w="324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实时监控数据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5"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205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324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TOP10 当前排队会话数最多的企业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205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324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今日数据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5304" w:type="dxa"/>
            <w:gridSpan w:val="2"/>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商户客服监控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2059" w:type="dxa"/>
            <w:vMerge w:val="restart"/>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自定义子商户监控看板</w:t>
            </w:r>
          </w:p>
        </w:tc>
        <w:tc>
          <w:tcPr>
            <w:tcW w:w="3245"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定义子商户监控看板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205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3245"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子商户今日数据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restart"/>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主商户监控</w:t>
            </w:r>
          </w:p>
        </w:tc>
        <w:tc>
          <w:tcPr>
            <w:tcW w:w="2059"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在线客服概况</w:t>
            </w:r>
          </w:p>
        </w:tc>
        <w:tc>
          <w:tcPr>
            <w:tcW w:w="3245" w:type="dxa"/>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2059"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会话监控</w:t>
            </w:r>
          </w:p>
        </w:tc>
        <w:tc>
          <w:tcPr>
            <w:tcW w:w="3245" w:type="dxa"/>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restart"/>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我的接待</w:t>
            </w:r>
          </w:p>
        </w:tc>
        <w:tc>
          <w:tcPr>
            <w:tcW w:w="2059" w:type="dxa"/>
            <w:vMerge w:val="restart"/>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我的接待</w:t>
            </w:r>
          </w:p>
        </w:tc>
        <w:tc>
          <w:tcPr>
            <w:tcW w:w="3245"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205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3245"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我的数据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205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3245"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分时段统计数据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restart"/>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我的工单</w:t>
            </w:r>
          </w:p>
        </w:tc>
        <w:tc>
          <w:tcPr>
            <w:tcW w:w="2059"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数据看板</w:t>
            </w:r>
          </w:p>
        </w:tc>
        <w:tc>
          <w:tcPr>
            <w:tcW w:w="3245" w:type="dxa"/>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2059"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工单明细数据</w:t>
            </w:r>
          </w:p>
        </w:tc>
        <w:tc>
          <w:tcPr>
            <w:tcW w:w="3245" w:type="dxa"/>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336" w:type="dxa"/>
            <w:vMerge w:val="restart"/>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统计</w:t>
            </w:r>
          </w:p>
        </w:tc>
        <w:tc>
          <w:tcPr>
            <w:tcW w:w="1664" w:type="dxa"/>
            <w:vMerge w:val="restart"/>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在线客服</w:t>
            </w:r>
          </w:p>
        </w:tc>
        <w:tc>
          <w:tcPr>
            <w:tcW w:w="2059" w:type="dxa"/>
            <w:vMerge w:val="restart"/>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会话统计</w:t>
            </w:r>
          </w:p>
        </w:tc>
        <w:tc>
          <w:tcPr>
            <w:tcW w:w="3245"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会话统计概况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205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3245"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客户咨询统计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205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3245"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客户会话统计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205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3245"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会话消息统计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205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3245"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会话记录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2059" w:type="dxa"/>
            <w:vMerge w:val="restart"/>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客服统计</w:t>
            </w:r>
          </w:p>
        </w:tc>
        <w:tc>
          <w:tcPr>
            <w:tcW w:w="3245"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客服统计概况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205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3245"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客服工作量统计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205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3245"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分时接待统计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205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3245"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接待压力统计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205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324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客服订单统计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2059" w:type="dxa"/>
            <w:vMerge w:val="restart"/>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满意度评价统计</w:t>
            </w:r>
          </w:p>
        </w:tc>
        <w:tc>
          <w:tcPr>
            <w:tcW w:w="3245"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满意度统计概览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205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3245"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人工满意度评价统计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205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3245"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机器人满意度评价统计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2059" w:type="dxa"/>
            <w:vMerge w:val="restart"/>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访问统计</w:t>
            </w:r>
          </w:p>
        </w:tc>
        <w:tc>
          <w:tcPr>
            <w:tcW w:w="3245"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客户来源统计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205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3245"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搜索词统计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205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3245"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受访页面统计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205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3245"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着陆页面统计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205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3245"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对话页面统计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restart"/>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工单客服</w:t>
            </w:r>
          </w:p>
        </w:tc>
        <w:tc>
          <w:tcPr>
            <w:tcW w:w="2059"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工单统计概览</w:t>
            </w:r>
          </w:p>
        </w:tc>
        <w:tc>
          <w:tcPr>
            <w:tcW w:w="3245" w:type="dxa"/>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2059"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客服工作量</w:t>
            </w:r>
          </w:p>
        </w:tc>
        <w:tc>
          <w:tcPr>
            <w:tcW w:w="3245" w:type="dxa"/>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2059"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工单分类统计</w:t>
            </w:r>
          </w:p>
        </w:tc>
        <w:tc>
          <w:tcPr>
            <w:tcW w:w="3245" w:type="dxa"/>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2059"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工单满意度统计</w:t>
            </w:r>
          </w:p>
        </w:tc>
        <w:tc>
          <w:tcPr>
            <w:tcW w:w="3245" w:type="dxa"/>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2059"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自定义报表</w:t>
            </w:r>
          </w:p>
        </w:tc>
        <w:tc>
          <w:tcPr>
            <w:tcW w:w="3245" w:type="dxa"/>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restart"/>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机器人客服</w:t>
            </w:r>
          </w:p>
        </w:tc>
        <w:tc>
          <w:tcPr>
            <w:tcW w:w="2059" w:type="dxa"/>
            <w:vMerge w:val="restart"/>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机器人回答统计</w:t>
            </w:r>
          </w:p>
        </w:tc>
        <w:tc>
          <w:tcPr>
            <w:tcW w:w="3245"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回答类型统计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2059"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3245"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命中问题统计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2059"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客户提问统计</w:t>
            </w:r>
          </w:p>
        </w:tc>
        <w:tc>
          <w:tcPr>
            <w:tcW w:w="3245" w:type="dxa"/>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2059"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维护工作量统计</w:t>
            </w:r>
          </w:p>
        </w:tc>
        <w:tc>
          <w:tcPr>
            <w:tcW w:w="3245" w:type="dxa"/>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2059"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问题评价统计</w:t>
            </w:r>
          </w:p>
        </w:tc>
        <w:tc>
          <w:tcPr>
            <w:tcW w:w="3245" w:type="dxa"/>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336" w:type="dxa"/>
            <w:vMerge w:val="restart"/>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质检</w:t>
            </w:r>
          </w:p>
        </w:tc>
        <w:tc>
          <w:tcPr>
            <w:tcW w:w="1664" w:type="dxa"/>
            <w:vMerge w:val="restart"/>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会话质检</w:t>
            </w:r>
          </w:p>
        </w:tc>
        <w:tc>
          <w:tcPr>
            <w:tcW w:w="2059"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质检评分</w:t>
            </w:r>
          </w:p>
        </w:tc>
        <w:tc>
          <w:tcPr>
            <w:tcW w:w="3245" w:type="dxa"/>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336" w:type="dxa"/>
            <w:vMerge w:val="continue"/>
            <w:shd w:val="clear" w:color="auto" w:fill="auto"/>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2059"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结果查询</w:t>
            </w:r>
          </w:p>
        </w:tc>
        <w:tc>
          <w:tcPr>
            <w:tcW w:w="3245" w:type="dxa"/>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336" w:type="dxa"/>
            <w:vMerge w:val="continue"/>
            <w:shd w:val="clear" w:color="auto" w:fill="auto"/>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2059"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会话质检</w:t>
            </w:r>
          </w:p>
        </w:tc>
        <w:tc>
          <w:tcPr>
            <w:tcW w:w="3245" w:type="dxa"/>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336" w:type="dxa"/>
            <w:vMerge w:val="continue"/>
            <w:shd w:val="clear" w:color="auto" w:fill="auto"/>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2059"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质检统计</w:t>
            </w:r>
          </w:p>
        </w:tc>
        <w:tc>
          <w:tcPr>
            <w:tcW w:w="3245" w:type="dxa"/>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trPr>
        <w:tc>
          <w:tcPr>
            <w:tcW w:w="1336" w:type="dxa"/>
            <w:vMerge w:val="continue"/>
            <w:shd w:val="clear" w:color="auto" w:fill="auto"/>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restart"/>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人工质检配置</w:t>
            </w:r>
          </w:p>
        </w:tc>
        <w:tc>
          <w:tcPr>
            <w:tcW w:w="2059"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会话质检方案</w:t>
            </w:r>
          </w:p>
        </w:tc>
        <w:tc>
          <w:tcPr>
            <w:tcW w:w="3245" w:type="dxa"/>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336" w:type="dxa"/>
            <w:vMerge w:val="continue"/>
            <w:shd w:val="clear" w:color="auto" w:fill="auto"/>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2059"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会话质检工作流程</w:t>
            </w:r>
          </w:p>
        </w:tc>
        <w:tc>
          <w:tcPr>
            <w:tcW w:w="3245" w:type="dxa"/>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336" w:type="dxa"/>
            <w:vMerge w:val="restart"/>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工单中心</w:t>
            </w:r>
          </w:p>
        </w:tc>
        <w:tc>
          <w:tcPr>
            <w:tcW w:w="1664" w:type="dxa"/>
            <w:vMerge w:val="restart"/>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我的工单查询</w:t>
            </w:r>
          </w:p>
        </w:tc>
        <w:tc>
          <w:tcPr>
            <w:tcW w:w="2059"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自定义查询</w:t>
            </w:r>
          </w:p>
        </w:tc>
        <w:tc>
          <w:tcPr>
            <w:tcW w:w="3245" w:type="dxa"/>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336" w:type="dxa"/>
            <w:vMerge w:val="continue"/>
            <w:shd w:val="clear" w:color="auto" w:fill="auto"/>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p>
        </w:tc>
        <w:tc>
          <w:tcPr>
            <w:tcW w:w="2059"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待处理的工单</w:t>
            </w:r>
          </w:p>
        </w:tc>
        <w:tc>
          <w:tcPr>
            <w:tcW w:w="3245" w:type="dxa"/>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336" w:type="dxa"/>
            <w:vMerge w:val="continue"/>
            <w:shd w:val="clear" w:color="auto" w:fill="auto"/>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restart"/>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2059"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我处理的工单</w:t>
            </w:r>
          </w:p>
        </w:tc>
        <w:tc>
          <w:tcPr>
            <w:tcW w:w="3245" w:type="dxa"/>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336" w:type="dxa"/>
            <w:vMerge w:val="continue"/>
            <w:shd w:val="clear" w:color="auto" w:fill="auto"/>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2059"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我创建的工单</w:t>
            </w:r>
          </w:p>
        </w:tc>
        <w:tc>
          <w:tcPr>
            <w:tcW w:w="3245" w:type="dxa"/>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336" w:type="dxa"/>
            <w:vMerge w:val="continue"/>
            <w:shd w:val="clear" w:color="auto" w:fill="auto"/>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2059"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我解决的工单</w:t>
            </w:r>
          </w:p>
        </w:tc>
        <w:tc>
          <w:tcPr>
            <w:tcW w:w="3245" w:type="dxa"/>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336" w:type="dxa"/>
            <w:vMerge w:val="continue"/>
            <w:shd w:val="clear" w:color="auto" w:fill="auto"/>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2059"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我关注的工单</w:t>
            </w:r>
          </w:p>
        </w:tc>
        <w:tc>
          <w:tcPr>
            <w:tcW w:w="3245" w:type="dxa"/>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336" w:type="dxa"/>
            <w:vMerge w:val="restart"/>
            <w:shd w:val="clear" w:color="auto" w:fill="auto"/>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知识库</w:t>
            </w:r>
          </w:p>
        </w:tc>
        <w:tc>
          <w:tcPr>
            <w:tcW w:w="1664"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我的客服组</w:t>
            </w:r>
          </w:p>
        </w:tc>
        <w:tc>
          <w:tcPr>
            <w:tcW w:w="2059"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未分配的工单</w:t>
            </w:r>
          </w:p>
        </w:tc>
        <w:tc>
          <w:tcPr>
            <w:tcW w:w="3245" w:type="dxa"/>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336" w:type="dxa"/>
            <w:vMerge w:val="continue"/>
            <w:shd w:val="clear" w:color="auto" w:fill="auto"/>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restart"/>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所有工单</w:t>
            </w:r>
          </w:p>
        </w:tc>
        <w:tc>
          <w:tcPr>
            <w:tcW w:w="2059"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待处理的工单</w:t>
            </w:r>
          </w:p>
        </w:tc>
        <w:tc>
          <w:tcPr>
            <w:tcW w:w="3245" w:type="dxa"/>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336" w:type="dxa"/>
            <w:vMerge w:val="continue"/>
            <w:shd w:val="clear" w:color="auto" w:fill="auto"/>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2059"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组内处理的工单</w:t>
            </w:r>
          </w:p>
        </w:tc>
        <w:tc>
          <w:tcPr>
            <w:tcW w:w="3245" w:type="dxa"/>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336" w:type="dxa"/>
            <w:vMerge w:val="continue"/>
            <w:shd w:val="clear" w:color="auto" w:fill="auto"/>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2059"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组内创建的工单</w:t>
            </w:r>
          </w:p>
        </w:tc>
        <w:tc>
          <w:tcPr>
            <w:tcW w:w="3245" w:type="dxa"/>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336" w:type="dxa"/>
            <w:vMerge w:val="continue"/>
            <w:shd w:val="clear" w:color="auto" w:fill="auto"/>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2059"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已解决的工单</w:t>
            </w:r>
          </w:p>
        </w:tc>
        <w:tc>
          <w:tcPr>
            <w:tcW w:w="3245" w:type="dxa"/>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336" w:type="dxa"/>
            <w:vMerge w:val="continue"/>
            <w:shd w:val="clear" w:color="auto" w:fill="auto"/>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p>
        </w:tc>
        <w:tc>
          <w:tcPr>
            <w:tcW w:w="2059"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未分配的工单</w:t>
            </w:r>
          </w:p>
        </w:tc>
        <w:tc>
          <w:tcPr>
            <w:tcW w:w="3245" w:type="dxa"/>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336" w:type="dxa"/>
            <w:vMerge w:val="continue"/>
            <w:shd w:val="clear" w:color="auto" w:fill="auto"/>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restart"/>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SLA服务</w:t>
            </w:r>
          </w:p>
        </w:tc>
        <w:tc>
          <w:tcPr>
            <w:tcW w:w="2059"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所有待处理</w:t>
            </w:r>
          </w:p>
        </w:tc>
        <w:tc>
          <w:tcPr>
            <w:tcW w:w="3245" w:type="dxa"/>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336" w:type="dxa"/>
            <w:vMerge w:val="continue"/>
            <w:shd w:val="clear" w:color="auto" w:fill="auto"/>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2059"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所有已处理</w:t>
            </w:r>
          </w:p>
        </w:tc>
        <w:tc>
          <w:tcPr>
            <w:tcW w:w="3245" w:type="dxa"/>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336" w:type="dxa"/>
            <w:vMerge w:val="continue"/>
            <w:shd w:val="clear" w:color="auto" w:fill="auto"/>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2059"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已删除工单</w:t>
            </w:r>
          </w:p>
        </w:tc>
        <w:tc>
          <w:tcPr>
            <w:tcW w:w="3245" w:type="dxa"/>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336" w:type="dxa"/>
            <w:vMerge w:val="continue"/>
            <w:shd w:val="clear" w:color="auto" w:fill="auto"/>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p>
        </w:tc>
        <w:tc>
          <w:tcPr>
            <w:tcW w:w="2059"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大于24小时未分配</w:t>
            </w:r>
          </w:p>
        </w:tc>
        <w:tc>
          <w:tcPr>
            <w:tcW w:w="3245" w:type="dxa"/>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336" w:type="dxa"/>
            <w:vMerge w:val="continue"/>
            <w:shd w:val="clear" w:color="auto" w:fill="auto"/>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2059"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大于48小时为解决</w:t>
            </w:r>
          </w:p>
        </w:tc>
        <w:tc>
          <w:tcPr>
            <w:tcW w:w="3245" w:type="dxa"/>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336" w:type="dxa"/>
            <w:vMerge w:val="continue"/>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p>
        </w:tc>
        <w:tc>
          <w:tcPr>
            <w:tcW w:w="1664" w:type="dxa"/>
            <w:vMerge w:val="restart"/>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内部知识库机器人知识库</w:t>
            </w:r>
          </w:p>
        </w:tc>
        <w:tc>
          <w:tcPr>
            <w:tcW w:w="2059"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单轮问题管理</w:t>
            </w:r>
          </w:p>
        </w:tc>
        <w:tc>
          <w:tcPr>
            <w:tcW w:w="3245" w:type="dxa"/>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2059"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智能学习</w:t>
            </w:r>
          </w:p>
        </w:tc>
        <w:tc>
          <w:tcPr>
            <w:tcW w:w="3245" w:type="dxa"/>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2059"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未知问题学习</w:t>
            </w:r>
          </w:p>
        </w:tc>
        <w:tc>
          <w:tcPr>
            <w:tcW w:w="3245" w:type="dxa"/>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p>
        </w:tc>
        <w:tc>
          <w:tcPr>
            <w:tcW w:w="2059"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知识管理</w:t>
            </w:r>
          </w:p>
        </w:tc>
        <w:tc>
          <w:tcPr>
            <w:tcW w:w="3245" w:type="dxa"/>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restart"/>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客户服务知识库</w:t>
            </w:r>
          </w:p>
        </w:tc>
        <w:tc>
          <w:tcPr>
            <w:tcW w:w="2059"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知识查询</w:t>
            </w:r>
          </w:p>
        </w:tc>
        <w:tc>
          <w:tcPr>
            <w:tcW w:w="3245" w:type="dxa"/>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p>
        </w:tc>
        <w:tc>
          <w:tcPr>
            <w:tcW w:w="2059"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问题管理</w:t>
            </w:r>
          </w:p>
        </w:tc>
        <w:tc>
          <w:tcPr>
            <w:tcW w:w="3245" w:type="dxa"/>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336" w:type="dxa"/>
            <w:vMerge w:val="restart"/>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客户中心</w:t>
            </w:r>
          </w:p>
        </w:tc>
        <w:tc>
          <w:tcPr>
            <w:tcW w:w="1664" w:type="dxa"/>
            <w:vMerge w:val="restart"/>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客户列表</w:t>
            </w:r>
          </w:p>
        </w:tc>
        <w:tc>
          <w:tcPr>
            <w:tcW w:w="2059"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新增客户</w:t>
            </w:r>
          </w:p>
        </w:tc>
        <w:tc>
          <w:tcPr>
            <w:tcW w:w="3245" w:type="dxa"/>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2059"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查看客户信息</w:t>
            </w:r>
          </w:p>
        </w:tc>
        <w:tc>
          <w:tcPr>
            <w:tcW w:w="3245" w:type="dxa"/>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2059"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编辑客户信息</w:t>
            </w:r>
          </w:p>
        </w:tc>
        <w:tc>
          <w:tcPr>
            <w:tcW w:w="3245" w:type="dxa"/>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restart"/>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公司列表</w:t>
            </w:r>
          </w:p>
        </w:tc>
        <w:tc>
          <w:tcPr>
            <w:tcW w:w="2059"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删除客户信息</w:t>
            </w:r>
          </w:p>
        </w:tc>
        <w:tc>
          <w:tcPr>
            <w:tcW w:w="3245" w:type="dxa"/>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p>
        </w:tc>
        <w:tc>
          <w:tcPr>
            <w:tcW w:w="2059"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新增公司</w:t>
            </w:r>
          </w:p>
        </w:tc>
        <w:tc>
          <w:tcPr>
            <w:tcW w:w="3245" w:type="dxa"/>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2059"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查询公司</w:t>
            </w:r>
          </w:p>
        </w:tc>
        <w:tc>
          <w:tcPr>
            <w:tcW w:w="3245" w:type="dxa"/>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336" w:type="dxa"/>
            <w:vMerge w:val="restart"/>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开放接口</w:t>
            </w:r>
          </w:p>
        </w:tc>
        <w:tc>
          <w:tcPr>
            <w:tcW w:w="1664" w:type="dxa"/>
            <w:vMerge w:val="restart"/>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业务接口</w:t>
            </w:r>
          </w:p>
        </w:tc>
        <w:tc>
          <w:tcPr>
            <w:tcW w:w="2059"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编辑公司信息</w:t>
            </w:r>
          </w:p>
        </w:tc>
        <w:tc>
          <w:tcPr>
            <w:tcW w:w="3245" w:type="dxa"/>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2059"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删除公司信息</w:t>
            </w:r>
          </w:p>
        </w:tc>
        <w:tc>
          <w:tcPr>
            <w:tcW w:w="3245" w:type="dxa"/>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336" w:type="dxa"/>
            <w:vMerge w:val="continue"/>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p>
        </w:tc>
        <w:tc>
          <w:tcPr>
            <w:tcW w:w="2059"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平台企业列表查询</w:t>
            </w:r>
          </w:p>
        </w:tc>
        <w:tc>
          <w:tcPr>
            <w:tcW w:w="3245"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通过接口调用形式查询平台企业列表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2059"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添加企业</w:t>
            </w:r>
          </w:p>
        </w:tc>
        <w:tc>
          <w:tcPr>
            <w:tcW w:w="3245"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通过接口调用形式添加电商平台商户。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restart"/>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2059"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平台修改企业</w:t>
            </w:r>
          </w:p>
        </w:tc>
        <w:tc>
          <w:tcPr>
            <w:tcW w:w="3245"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通过接口调用形式修改电商平台商户。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2059"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添加客服</w:t>
            </w:r>
          </w:p>
        </w:tc>
        <w:tc>
          <w:tcPr>
            <w:tcW w:w="3245"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通过接口调用形式添加客服。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2059"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编辑客服</w:t>
            </w:r>
          </w:p>
        </w:tc>
        <w:tc>
          <w:tcPr>
            <w:tcW w:w="3245"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通过接口调用形式编辑客服。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2059"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删除客服</w:t>
            </w:r>
          </w:p>
        </w:tc>
        <w:tc>
          <w:tcPr>
            <w:tcW w:w="3245"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通过接口形式删除客服。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336" w:type="dxa"/>
            <w:vMerge w:val="restart"/>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restart"/>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数据接口</w:t>
            </w:r>
          </w:p>
        </w:tc>
        <w:tc>
          <w:tcPr>
            <w:tcW w:w="2059"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客服会话统计查询接口</w:t>
            </w:r>
          </w:p>
        </w:tc>
        <w:tc>
          <w:tcPr>
            <w:tcW w:w="3245"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获取平台下的所有商户的所有客服会话统计。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2059"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客服响应时间统计查询接口</w:t>
            </w:r>
          </w:p>
        </w:tc>
        <w:tc>
          <w:tcPr>
            <w:tcW w:w="3245"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获取平台下的所有商户的所有客服响应时间。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2059"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批量获取所有子商户appKey信息查询</w:t>
            </w:r>
          </w:p>
        </w:tc>
        <w:tc>
          <w:tcPr>
            <w:tcW w:w="3245"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获取平台下所有子商户的appKey和appId。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2059"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客服状态明细接口</w:t>
            </w:r>
          </w:p>
        </w:tc>
        <w:tc>
          <w:tcPr>
            <w:tcW w:w="3245"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通过接口获取客服明细状态列表。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2059"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商户聊天列表</w:t>
            </w:r>
          </w:p>
        </w:tc>
        <w:tc>
          <w:tcPr>
            <w:tcW w:w="3245"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获取客户的商户列表信息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2059"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客服统计接口</w:t>
            </w:r>
          </w:p>
        </w:tc>
        <w:tc>
          <w:tcPr>
            <w:tcW w:w="3245"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获取指定时间范围内平台所有商户的客服统计指标。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restart"/>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统计接口</w:t>
            </w:r>
          </w:p>
        </w:tc>
        <w:tc>
          <w:tcPr>
            <w:tcW w:w="2059"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机器人会话统计接口</w:t>
            </w:r>
          </w:p>
        </w:tc>
        <w:tc>
          <w:tcPr>
            <w:tcW w:w="324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可通过调用该接口来获取机器人会话概览统计结果。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2059"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机器人满意度评价统计</w:t>
            </w:r>
          </w:p>
        </w:tc>
        <w:tc>
          <w:tcPr>
            <w:tcW w:w="324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可通过调用该接口来获取机器人满意度评价统计结果。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2059"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人工会话统计</w:t>
            </w:r>
          </w:p>
        </w:tc>
        <w:tc>
          <w:tcPr>
            <w:tcW w:w="324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可通过调用该接口来获取人工会话概览统计结果。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2059"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人工满意度评价统计</w:t>
            </w:r>
          </w:p>
        </w:tc>
        <w:tc>
          <w:tcPr>
            <w:tcW w:w="324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可通过调用该接口来获取人工满意度评价统计结果。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2059"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客户会话统计</w:t>
            </w:r>
          </w:p>
        </w:tc>
        <w:tc>
          <w:tcPr>
            <w:tcW w:w="324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可通过调用该接口来获取客户会话概览统计结果。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6"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2059"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会话消息统计</w:t>
            </w:r>
          </w:p>
        </w:tc>
        <w:tc>
          <w:tcPr>
            <w:tcW w:w="324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可通过调用该接口来获取会话消息统计结果。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restart"/>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消息转发接口</w:t>
            </w:r>
          </w:p>
        </w:tc>
        <w:tc>
          <w:tcPr>
            <w:tcW w:w="2059"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获取在线质检结果</w:t>
            </w:r>
          </w:p>
        </w:tc>
        <w:tc>
          <w:tcPr>
            <w:tcW w:w="324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获取在线质检结果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5"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2059"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离线数据文件下载接口</w:t>
            </w:r>
          </w:p>
        </w:tc>
        <w:tc>
          <w:tcPr>
            <w:tcW w:w="324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可通过调用该接口来获取各个业务模块的原始数据，可用于企业对数据归档或做数据分析等。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5"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2059"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订单统计推送接口</w:t>
            </w:r>
          </w:p>
        </w:tc>
        <w:tc>
          <w:tcPr>
            <w:tcW w:w="324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客服订单推送接口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0"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2059"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客服统计</w:t>
            </w:r>
          </w:p>
        </w:tc>
        <w:tc>
          <w:tcPr>
            <w:tcW w:w="324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可通过调用该接口来获取客服统计数据。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5"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2059"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客服登录时长统计</w:t>
            </w:r>
          </w:p>
        </w:tc>
        <w:tc>
          <w:tcPr>
            <w:tcW w:w="324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可通过调用该接口来获取客服登录时长数据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5"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p>
        </w:tc>
        <w:tc>
          <w:tcPr>
            <w:tcW w:w="2059"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在线会话消息</w:t>
            </w:r>
          </w:p>
        </w:tc>
        <w:tc>
          <w:tcPr>
            <w:tcW w:w="324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可通过该接口获取明细会话数据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5"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2059"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在线评价信息</w:t>
            </w:r>
          </w:p>
        </w:tc>
        <w:tc>
          <w:tcPr>
            <w:tcW w:w="324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可通过该接口获取明细评价数据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0"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2059"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在线访客信息</w:t>
            </w:r>
          </w:p>
        </w:tc>
        <w:tc>
          <w:tcPr>
            <w:tcW w:w="324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可通过该接口获取明细访客数据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2059"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在线客户信息</w:t>
            </w:r>
          </w:p>
        </w:tc>
        <w:tc>
          <w:tcPr>
            <w:tcW w:w="324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可通过该接口获取明细客户数据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5"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2059"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在线聊天信息</w:t>
            </w:r>
          </w:p>
        </w:tc>
        <w:tc>
          <w:tcPr>
            <w:tcW w:w="324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可通过该接口获取明细聊天数据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0"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2059"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在线服务总结</w:t>
            </w:r>
          </w:p>
        </w:tc>
        <w:tc>
          <w:tcPr>
            <w:tcW w:w="324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可通过该接口获取明细服务总结数据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5"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restart"/>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客户中心接口</w:t>
            </w:r>
          </w:p>
        </w:tc>
        <w:tc>
          <w:tcPr>
            <w:tcW w:w="2059"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消息转发加密</w:t>
            </w:r>
          </w:p>
        </w:tc>
        <w:tc>
          <w:tcPr>
            <w:tcW w:w="324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该方案基于在线用户消息和在线访客消息接口数据，提供content字段的加密。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0"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p>
        </w:tc>
        <w:tc>
          <w:tcPr>
            <w:tcW w:w="2059"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创建客户信息</w:t>
            </w:r>
          </w:p>
        </w:tc>
        <w:tc>
          <w:tcPr>
            <w:tcW w:w="324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可通过该接口来创建客户。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5"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2059"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编辑客户信息</w:t>
            </w:r>
          </w:p>
        </w:tc>
        <w:tc>
          <w:tcPr>
            <w:tcW w:w="324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可通过该接口编辑客户信息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5"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2059"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根据邮箱查询客户信息</w:t>
            </w:r>
          </w:p>
        </w:tc>
        <w:tc>
          <w:tcPr>
            <w:tcW w:w="324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可通过该接口根据邮箱查询客户信息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5"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2059"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根据手机号查询客户信息</w:t>
            </w:r>
          </w:p>
        </w:tc>
        <w:tc>
          <w:tcPr>
            <w:tcW w:w="324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可通过该接口根据手机号查询客户信息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5"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2059"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根据客户ID查询客户信息</w:t>
            </w:r>
          </w:p>
        </w:tc>
        <w:tc>
          <w:tcPr>
            <w:tcW w:w="324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可通过该接口根据客户ID查询客户信息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5"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2059"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根据对接ID查询客户信息</w:t>
            </w:r>
          </w:p>
        </w:tc>
        <w:tc>
          <w:tcPr>
            <w:tcW w:w="324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可通过对接ID查询客户信息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restart"/>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客服管理接口</w:t>
            </w:r>
          </w:p>
        </w:tc>
        <w:tc>
          <w:tcPr>
            <w:tcW w:w="2059"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查询客户列表</w:t>
            </w:r>
          </w:p>
        </w:tc>
        <w:tc>
          <w:tcPr>
            <w:tcW w:w="324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可通过该接口查询客户列表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2059"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查询客户自定义字段信息</w:t>
            </w:r>
          </w:p>
        </w:tc>
        <w:tc>
          <w:tcPr>
            <w:tcW w:w="324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可通过该接口来查询客户自定义字段配置信息。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5"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2059"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查询自定义字段值</w:t>
            </w:r>
          </w:p>
        </w:tc>
        <w:tc>
          <w:tcPr>
            <w:tcW w:w="324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可通过该接口查询自定义字段值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5"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2059"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查询客户固定字段信息</w:t>
            </w:r>
          </w:p>
        </w:tc>
        <w:tc>
          <w:tcPr>
            <w:tcW w:w="324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可通过该接口查询客户固定字段配置信息，例如，VIP级别。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5"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2059"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查询客户中心企业列表</w:t>
            </w:r>
          </w:p>
        </w:tc>
        <w:tc>
          <w:tcPr>
            <w:tcW w:w="324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可通过该接口查询客户中心的企业列表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2059"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客户批量上传接口</w:t>
            </w:r>
          </w:p>
        </w:tc>
        <w:tc>
          <w:tcPr>
            <w:tcW w:w="324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可通过该接口进行客户批量上传操作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5"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2059"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修改企业信息接口</w:t>
            </w:r>
          </w:p>
        </w:tc>
        <w:tc>
          <w:tcPr>
            <w:tcW w:w="324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可通过该接口修改企业名称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p>
        </w:tc>
        <w:tc>
          <w:tcPr>
            <w:tcW w:w="2059"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查询坐席角色</w:t>
            </w:r>
          </w:p>
        </w:tc>
        <w:tc>
          <w:tcPr>
            <w:tcW w:w="324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获取系统中添加客服所需的角色信息。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5"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2059"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查询组织结构</w:t>
            </w:r>
          </w:p>
        </w:tc>
        <w:tc>
          <w:tcPr>
            <w:tcW w:w="324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获取系统中添加客服所需的组织结构信息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2059"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查询技能组</w:t>
            </w:r>
          </w:p>
        </w:tc>
        <w:tc>
          <w:tcPr>
            <w:tcW w:w="324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获取所属公司技能组信息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2059"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新增技能组</w:t>
            </w:r>
          </w:p>
        </w:tc>
        <w:tc>
          <w:tcPr>
            <w:tcW w:w="324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新增所属公司技能组信息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0"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2059"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更新技能组</w:t>
            </w:r>
          </w:p>
        </w:tc>
        <w:tc>
          <w:tcPr>
            <w:tcW w:w="324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更新所属公司技能组信息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5"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2059"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删除技能组</w:t>
            </w:r>
          </w:p>
        </w:tc>
        <w:tc>
          <w:tcPr>
            <w:tcW w:w="324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删除所属公司技能组信息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0"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restart"/>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2059"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增加坐席至技能组</w:t>
            </w:r>
          </w:p>
        </w:tc>
        <w:tc>
          <w:tcPr>
            <w:tcW w:w="324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增加坐席到技能组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2059"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删除技能组内坐席</w:t>
            </w:r>
          </w:p>
        </w:tc>
        <w:tc>
          <w:tcPr>
            <w:tcW w:w="324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删除技能组内坐席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2059"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查询技能组内坐席</w:t>
            </w:r>
          </w:p>
        </w:tc>
        <w:tc>
          <w:tcPr>
            <w:tcW w:w="324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查询技能组内坐席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2059"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查询坐席列表</w:t>
            </w:r>
          </w:p>
        </w:tc>
        <w:tc>
          <w:tcPr>
            <w:tcW w:w="324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查询所属公司所有客服信息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5"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2059"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新增坐席信息</w:t>
            </w:r>
          </w:p>
        </w:tc>
        <w:tc>
          <w:tcPr>
            <w:tcW w:w="324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新增客服信息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2059"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更新坐席信息</w:t>
            </w:r>
          </w:p>
        </w:tc>
        <w:tc>
          <w:tcPr>
            <w:tcW w:w="324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更新客服信息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2059"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删除坐席信息</w:t>
            </w:r>
          </w:p>
        </w:tc>
        <w:tc>
          <w:tcPr>
            <w:tcW w:w="324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删除客服信息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1336"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1664" w:type="dxa"/>
            <w:vMerge w:val="continue"/>
            <w:shd w:val="clear" w:color="auto" w:fill="auto"/>
            <w:noWrap/>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i w:val="0"/>
                <w:iCs w:val="0"/>
                <w:color w:val="000000"/>
                <w:sz w:val="20"/>
                <w:szCs w:val="20"/>
                <w:u w:val="none"/>
              </w:rPr>
            </w:pPr>
          </w:p>
        </w:tc>
        <w:tc>
          <w:tcPr>
            <w:tcW w:w="2059"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批量创建坐席</w:t>
            </w:r>
          </w:p>
        </w:tc>
        <w:tc>
          <w:tcPr>
            <w:tcW w:w="324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i w:val="0"/>
                <w:iCs w:val="0"/>
                <w:color w:val="000000"/>
                <w:kern w:val="2"/>
                <w:sz w:val="20"/>
                <w:szCs w:val="20"/>
                <w:u w:val="none"/>
                <w:lang w:val="en-US" w:eastAsia="zh-CN" w:bidi="ar-SA"/>
              </w:rPr>
            </w:pPr>
            <w:r>
              <w:rPr>
                <w:rFonts w:hint="eastAsia" w:ascii="仿宋_GB2312" w:hAnsi="仿宋_GB2312" w:eastAsia="仿宋_GB2312" w:cs="仿宋_GB2312"/>
                <w:i w:val="0"/>
                <w:iCs w:val="0"/>
                <w:color w:val="000000"/>
                <w:kern w:val="0"/>
                <w:sz w:val="20"/>
                <w:szCs w:val="20"/>
                <w:u w:val="none"/>
                <w:lang w:val="en-US" w:eastAsia="zh-CN" w:bidi="ar"/>
              </w:rPr>
              <w:t>批量创建坐席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304" w:type="dxa"/>
            <w:gridSpan w:val="4"/>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b/>
                <w:bCs/>
                <w:color w:val="000000"/>
                <w:szCs w:val="21"/>
                <w:lang w:val="en-US" w:eastAsia="zh-CN"/>
              </w:rPr>
              <w:t>3.工单中心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3000" w:type="dxa"/>
            <w:gridSpan w:val="2"/>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Cs w:val="21"/>
                <w:lang w:bidi="ar"/>
              </w:rPr>
              <w:t>功能类别</w:t>
            </w:r>
          </w:p>
        </w:tc>
        <w:tc>
          <w:tcPr>
            <w:tcW w:w="2059"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Cs w:val="21"/>
              </w:rPr>
              <w:t>功能点</w:t>
            </w:r>
          </w:p>
        </w:tc>
        <w:tc>
          <w:tcPr>
            <w:tcW w:w="324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Cs w:val="21"/>
                <w:lang w:bidi="ar"/>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336" w:type="dxa"/>
            <w:vMerge w:val="restar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工单插件创建工单</w:t>
            </w: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支持在网页中嵌入工单插件，客户点击填写表单，提交后自动创建工单</w:t>
            </w:r>
          </w:p>
        </w:tc>
        <w:tc>
          <w:tcPr>
            <w:tcW w:w="3245" w:type="dxa"/>
            <w:vMerge w:val="restart"/>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Cs w:val="21"/>
                <w:lang w:eastAsia="zh-CN" w:bidi="ar"/>
              </w:rPr>
            </w:pPr>
            <w:r>
              <w:rPr>
                <w:rFonts w:hint="eastAsia" w:ascii="仿宋_GB2312" w:hAnsi="仿宋_GB2312" w:eastAsia="仿宋_GB2312" w:cs="仿宋_GB2312"/>
                <w:color w:val="000000"/>
                <w:kern w:val="0"/>
                <w:szCs w:val="21"/>
                <w:lang w:bidi="ar"/>
              </w:rPr>
              <w:t>适合用于明确需要后续流程的业务，如“退换货”、“故障报修”等业务，可以与机器人答案进行绑定设置，也可以将其绑定到内网OA或微信公众号等；</w:t>
            </w:r>
          </w:p>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支持客户原渠道提交、查看、回复、评价等操作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可自定义创建工单使用的留言模板</w:t>
            </w:r>
          </w:p>
        </w:tc>
        <w:tc>
          <w:tcPr>
            <w:tcW w:w="3245"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支持原渠道查看留言列表的设置</w:t>
            </w:r>
          </w:p>
        </w:tc>
        <w:tc>
          <w:tcPr>
            <w:tcW w:w="3245"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支持客户原渠道回复的设置</w:t>
            </w:r>
          </w:p>
        </w:tc>
        <w:tc>
          <w:tcPr>
            <w:tcW w:w="3245"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支持客户原渠道进行满意度评价</w:t>
            </w:r>
          </w:p>
        </w:tc>
        <w:tc>
          <w:tcPr>
            <w:tcW w:w="3245"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支持中英文及颜色样式设置</w:t>
            </w:r>
          </w:p>
        </w:tc>
        <w:tc>
          <w:tcPr>
            <w:tcW w:w="3245"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支持客户查看范围设置（1个月、3个月、12个月）</w:t>
            </w:r>
          </w:p>
        </w:tc>
        <w:tc>
          <w:tcPr>
            <w:tcW w:w="3245"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支持客户回复范围设置</w:t>
            </w:r>
          </w:p>
        </w:tc>
        <w:tc>
          <w:tcPr>
            <w:tcW w:w="3245"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支持在线客服快捷答复设置</w:t>
            </w:r>
          </w:p>
        </w:tc>
        <w:tc>
          <w:tcPr>
            <w:tcW w:w="3245"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支持与机器人答案绑定设置</w:t>
            </w:r>
          </w:p>
        </w:tc>
        <w:tc>
          <w:tcPr>
            <w:tcW w:w="3245"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336" w:type="dxa"/>
            <w:vMerge w:val="restart"/>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留言创建工单</w:t>
            </w: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支持客户通过IM即时通讯留言创建工单</w:t>
            </w:r>
          </w:p>
        </w:tc>
        <w:tc>
          <w:tcPr>
            <w:tcW w:w="3245"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客服不在线时，允许客户原渠道查看、服务评价，不允许客户回复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支持客户通过呼叫中心语音留言创建工单</w:t>
            </w:r>
          </w:p>
        </w:tc>
        <w:tc>
          <w:tcPr>
            <w:tcW w:w="3245"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无人工客服时，可以留言转工单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微信创建工单</w:t>
            </w: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支持客户通过微信小程序渠道创建工单、查看工单进度</w:t>
            </w:r>
          </w:p>
        </w:tc>
        <w:tc>
          <w:tcPr>
            <w:tcW w:w="3245" w:type="dxa"/>
            <w:vMerge w:val="restart"/>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客服不在线时，允许客户原渠道查看、服务评价，不允许客户回复；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支持客户通过企业微信渠道创建工单、查看工单进度</w:t>
            </w:r>
          </w:p>
        </w:tc>
        <w:tc>
          <w:tcPr>
            <w:tcW w:w="3245"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支持客户通过微信渠道创建工单、查看工单进度</w:t>
            </w:r>
          </w:p>
        </w:tc>
        <w:tc>
          <w:tcPr>
            <w:tcW w:w="3245"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SDK创建工单</w:t>
            </w: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支持在APP中，单独入口提交后自动创建工单</w:t>
            </w:r>
          </w:p>
        </w:tc>
        <w:tc>
          <w:tcPr>
            <w:tcW w:w="3245" w:type="dxa"/>
            <w:vMerge w:val="restart"/>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可自定义创建工单使用的留言模板</w:t>
            </w:r>
          </w:p>
        </w:tc>
        <w:tc>
          <w:tcPr>
            <w:tcW w:w="3245"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支持原渠道查看留言列表的设置</w:t>
            </w:r>
          </w:p>
        </w:tc>
        <w:tc>
          <w:tcPr>
            <w:tcW w:w="3245"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支持客户原渠道回复的设置</w:t>
            </w:r>
          </w:p>
        </w:tc>
        <w:tc>
          <w:tcPr>
            <w:tcW w:w="3245"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支持客户原渠道进行满意度评价</w:t>
            </w:r>
          </w:p>
        </w:tc>
        <w:tc>
          <w:tcPr>
            <w:tcW w:w="3245"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支持中英文、繁体字、阿拉伯语及颜色样式设置</w:t>
            </w:r>
          </w:p>
        </w:tc>
        <w:tc>
          <w:tcPr>
            <w:tcW w:w="3245"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支持客户回复范围设置</w:t>
            </w:r>
          </w:p>
        </w:tc>
        <w:tc>
          <w:tcPr>
            <w:tcW w:w="3245"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邮件渠道</w:t>
            </w: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支持客户发送邮件至支持邮箱自动生成工单</w:t>
            </w:r>
          </w:p>
        </w:tc>
        <w:tc>
          <w:tcPr>
            <w:tcW w:w="3245" w:type="dxa"/>
            <w:vMerge w:val="restart"/>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可以设置转发规则，系统收到相关邮件后，根据设置自动生成工单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支持设置自定义支持邮箱</w:t>
            </w:r>
          </w:p>
        </w:tc>
        <w:tc>
          <w:tcPr>
            <w:tcW w:w="3245"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支持设置多个支持邮箱</w:t>
            </w:r>
          </w:p>
        </w:tc>
        <w:tc>
          <w:tcPr>
            <w:tcW w:w="3245"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支持设置默认回复邮箱</w:t>
            </w:r>
          </w:p>
        </w:tc>
        <w:tc>
          <w:tcPr>
            <w:tcW w:w="3245"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客服回复工单可自动发送邮件至客户邮箱</w:t>
            </w:r>
          </w:p>
        </w:tc>
        <w:tc>
          <w:tcPr>
            <w:tcW w:w="3245"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可设置回复邮件是否显示客服名称</w:t>
            </w:r>
          </w:p>
        </w:tc>
        <w:tc>
          <w:tcPr>
            <w:tcW w:w="3245"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自定义显示客服昵称还是名称</w:t>
            </w:r>
          </w:p>
        </w:tc>
        <w:tc>
          <w:tcPr>
            <w:tcW w:w="3245"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可设置回复邮件知否显示头图</w:t>
            </w:r>
          </w:p>
        </w:tc>
        <w:tc>
          <w:tcPr>
            <w:tcW w:w="3245"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可设置回复客户的邮件模版设置</w:t>
            </w:r>
          </w:p>
        </w:tc>
        <w:tc>
          <w:tcPr>
            <w:tcW w:w="3245"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可设置回复客户邮件主题</w:t>
            </w:r>
          </w:p>
        </w:tc>
        <w:tc>
          <w:tcPr>
            <w:tcW w:w="3245"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可设置回复客户邮件签名</w:t>
            </w:r>
          </w:p>
        </w:tc>
        <w:tc>
          <w:tcPr>
            <w:tcW w:w="3245"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手工创建工单</w:t>
            </w: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支持客服在工单工作台手动创建工单</w:t>
            </w:r>
          </w:p>
        </w:tc>
        <w:tc>
          <w:tcPr>
            <w:tcW w:w="3245" w:type="dxa"/>
            <w:vMerge w:val="restart"/>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支持客服在工单工作台批量导入工单</w:t>
            </w:r>
          </w:p>
        </w:tc>
        <w:tc>
          <w:tcPr>
            <w:tcW w:w="3245"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支持客服在IM工作台快速创建工单</w:t>
            </w:r>
          </w:p>
        </w:tc>
        <w:tc>
          <w:tcPr>
            <w:tcW w:w="3245"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支持客服在呼叫中心弹屏快速创建工单</w:t>
            </w:r>
          </w:p>
        </w:tc>
        <w:tc>
          <w:tcPr>
            <w:tcW w:w="3245"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支持客服在客户中心为客户创建工单</w:t>
            </w:r>
          </w:p>
        </w:tc>
        <w:tc>
          <w:tcPr>
            <w:tcW w:w="3245"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336"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工单工作台</w:t>
            </w:r>
          </w:p>
        </w:tc>
        <w:tc>
          <w:tcPr>
            <w:tcW w:w="166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工单过滤器</w:t>
            </w:r>
          </w:p>
        </w:tc>
        <w:tc>
          <w:tcPr>
            <w:tcW w:w="2059" w:type="dxa"/>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默认过滤器，我的、我的客服组、所有工单、SLA服务</w:t>
            </w:r>
          </w:p>
        </w:tc>
        <w:tc>
          <w:tcPr>
            <w:tcW w:w="3245" w:type="dxa"/>
            <w:vMerge w:val="restart"/>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工单基本功能，目前工单通知包含“消息通知、邮件通知”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工单过滤器列表</w:t>
            </w:r>
          </w:p>
        </w:tc>
        <w:tc>
          <w:tcPr>
            <w:tcW w:w="2059" w:type="dxa"/>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展示工单数量、支持自定义排序</w:t>
            </w:r>
          </w:p>
        </w:tc>
        <w:tc>
          <w:tcPr>
            <w:tcW w:w="3245"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工单展示列</w:t>
            </w:r>
          </w:p>
        </w:tc>
        <w:tc>
          <w:tcPr>
            <w:tcW w:w="2059" w:type="dxa"/>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支持全部工单字段自定义工单展示列</w:t>
            </w:r>
          </w:p>
        </w:tc>
        <w:tc>
          <w:tcPr>
            <w:tcW w:w="3245"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工单筛选</w:t>
            </w:r>
          </w:p>
        </w:tc>
        <w:tc>
          <w:tcPr>
            <w:tcW w:w="2059" w:type="dxa"/>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强大的工单筛选</w:t>
            </w:r>
          </w:p>
        </w:tc>
        <w:tc>
          <w:tcPr>
            <w:tcW w:w="3245"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工单排序</w:t>
            </w:r>
          </w:p>
        </w:tc>
        <w:tc>
          <w:tcPr>
            <w:tcW w:w="2059" w:type="dxa"/>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自定义列排序</w:t>
            </w:r>
          </w:p>
        </w:tc>
        <w:tc>
          <w:tcPr>
            <w:tcW w:w="3245"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工单批处理</w:t>
            </w:r>
          </w:p>
        </w:tc>
        <w:tc>
          <w:tcPr>
            <w:tcW w:w="2059" w:type="dxa"/>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提供强大的批处理功能：</w:t>
            </w:r>
          </w:p>
        </w:tc>
        <w:tc>
          <w:tcPr>
            <w:tcW w:w="3245"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工单导出</w:t>
            </w:r>
          </w:p>
        </w:tc>
        <w:tc>
          <w:tcPr>
            <w:tcW w:w="2059" w:type="dxa"/>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导出全部工单或选中工单</w:t>
            </w:r>
          </w:p>
        </w:tc>
        <w:tc>
          <w:tcPr>
            <w:tcW w:w="3245"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工单导入</w:t>
            </w:r>
          </w:p>
        </w:tc>
        <w:tc>
          <w:tcPr>
            <w:tcW w:w="2059" w:type="dxa"/>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支持工单导入</w:t>
            </w:r>
          </w:p>
        </w:tc>
        <w:tc>
          <w:tcPr>
            <w:tcW w:w="3245"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自定义工单分配</w:t>
            </w:r>
          </w:p>
        </w:tc>
        <w:tc>
          <w:tcPr>
            <w:tcW w:w="2059" w:type="dxa"/>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客服开启或关闭随机工单</w:t>
            </w:r>
          </w:p>
        </w:tc>
        <w:tc>
          <w:tcPr>
            <w:tcW w:w="3245"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336"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工单处理</w:t>
            </w:r>
          </w:p>
        </w:tc>
        <w:tc>
          <w:tcPr>
            <w:tcW w:w="1664"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工单编辑</w:t>
            </w: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支持客服将工单分配给其他客服组、客服</w:t>
            </w:r>
          </w:p>
        </w:tc>
        <w:tc>
          <w:tcPr>
            <w:tcW w:w="3245" w:type="dxa"/>
            <w:vMerge w:val="restart"/>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普通工单客服只能看到属于自己的工单、被抄送的工单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支持客服编辑工单信息，如优先级、状态、主题描述、模版内容等</w:t>
            </w:r>
          </w:p>
        </w:tc>
        <w:tc>
          <w:tcPr>
            <w:tcW w:w="3245"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支持客服“所有人可见”回复，客户和其他客服可看见回复内容</w:t>
            </w:r>
          </w:p>
        </w:tc>
        <w:tc>
          <w:tcPr>
            <w:tcW w:w="3245"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支持邮件抄送全部联系人</w:t>
            </w:r>
          </w:p>
        </w:tc>
        <w:tc>
          <w:tcPr>
            <w:tcW w:w="3245"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支持快速选择填写预设回复内容</w:t>
            </w:r>
          </w:p>
        </w:tc>
        <w:tc>
          <w:tcPr>
            <w:tcW w:w="3245"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电话呼叫回复客户可自动记录通话语音，客服可播放</w:t>
            </w:r>
          </w:p>
        </w:tc>
        <w:tc>
          <w:tcPr>
            <w:tcW w:w="3245"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支持客服进行“仅客服所见”回复，只有其他客服可见</w:t>
            </w:r>
          </w:p>
        </w:tc>
        <w:tc>
          <w:tcPr>
            <w:tcW w:w="3245"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支持某些渠道的工单进行满意度调查</w:t>
            </w:r>
          </w:p>
        </w:tc>
        <w:tc>
          <w:tcPr>
            <w:tcW w:w="3245"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支持某些渠道的工单客服主动发送满意度调查</w:t>
            </w:r>
          </w:p>
        </w:tc>
        <w:tc>
          <w:tcPr>
            <w:tcW w:w="3245"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支持客服删除工单</w:t>
            </w:r>
          </w:p>
        </w:tc>
        <w:tc>
          <w:tcPr>
            <w:tcW w:w="3245"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支持客服设置是否接受工单分配</w:t>
            </w:r>
          </w:p>
        </w:tc>
        <w:tc>
          <w:tcPr>
            <w:tcW w:w="3245"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支持客服拉黑客户</w:t>
            </w:r>
          </w:p>
        </w:tc>
        <w:tc>
          <w:tcPr>
            <w:tcW w:w="3245"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支持修改工单客户</w:t>
            </w:r>
          </w:p>
        </w:tc>
        <w:tc>
          <w:tcPr>
            <w:tcW w:w="3245"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1336"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工单详情</w:t>
            </w:r>
          </w:p>
        </w:tc>
        <w:tc>
          <w:tcPr>
            <w:tcW w:w="1664"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工单描述</w:t>
            </w: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工单描述支持富文本编辑器，可进行字体、段落、字号等设置</w:t>
            </w:r>
          </w:p>
        </w:tc>
        <w:tc>
          <w:tcPr>
            <w:tcW w:w="3245" w:type="dxa"/>
            <w:vMerge w:val="restart"/>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工单描述支持插入图片</w:t>
            </w:r>
          </w:p>
        </w:tc>
        <w:tc>
          <w:tcPr>
            <w:tcW w:w="3245"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工单描述支持插入超链接</w:t>
            </w:r>
          </w:p>
        </w:tc>
        <w:tc>
          <w:tcPr>
            <w:tcW w:w="3245"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工单描述支持插入视频</w:t>
            </w:r>
          </w:p>
        </w:tc>
        <w:tc>
          <w:tcPr>
            <w:tcW w:w="3245"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支持上传附件</w:t>
            </w:r>
          </w:p>
        </w:tc>
        <w:tc>
          <w:tcPr>
            <w:tcW w:w="3245"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工单属性</w:t>
            </w: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支持优先级设定</w:t>
            </w:r>
          </w:p>
        </w:tc>
        <w:tc>
          <w:tcPr>
            <w:tcW w:w="3245" w:type="dxa"/>
            <w:vMerge w:val="restart"/>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工单计时可以通过SLA设置，去除下班时间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支持工单提交渠道</w:t>
            </w:r>
          </w:p>
        </w:tc>
        <w:tc>
          <w:tcPr>
            <w:tcW w:w="3245"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支持工单详细来源</w:t>
            </w:r>
          </w:p>
        </w:tc>
        <w:tc>
          <w:tcPr>
            <w:tcW w:w="3245"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支持关注工单</w:t>
            </w:r>
          </w:p>
        </w:tc>
        <w:tc>
          <w:tcPr>
            <w:tcW w:w="3245"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支持显示工单计时情况</w:t>
            </w:r>
          </w:p>
        </w:tc>
        <w:tc>
          <w:tcPr>
            <w:tcW w:w="3245"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支持自定义工单计时信息</w:t>
            </w:r>
          </w:p>
        </w:tc>
        <w:tc>
          <w:tcPr>
            <w:tcW w:w="3245"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工单模版</w:t>
            </w: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支持设定多个工单模版，可在处理工单时编辑修改</w:t>
            </w:r>
          </w:p>
        </w:tc>
        <w:tc>
          <w:tcPr>
            <w:tcW w:w="3245" w:type="dxa"/>
            <w:vMerge w:val="restart"/>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支持工单模板与工单分类绑定，方便客服创建工单时选择好分类后，就自动带出相关所需模板及自定义字段；便于管理及规范性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支持设置必填项</w:t>
            </w:r>
          </w:p>
        </w:tc>
        <w:tc>
          <w:tcPr>
            <w:tcW w:w="3245"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支持多种工单字段类型，如文本框、下拉菜单、级联字段、单选、多选、日期时间等</w:t>
            </w:r>
          </w:p>
        </w:tc>
        <w:tc>
          <w:tcPr>
            <w:tcW w:w="3245"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工单辅助组件</w:t>
            </w:r>
          </w:p>
        </w:tc>
        <w:tc>
          <w:tcPr>
            <w:tcW w:w="2059"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支持设置工单Iframe组件，与第三方系统对接</w:t>
            </w:r>
          </w:p>
        </w:tc>
        <w:tc>
          <w:tcPr>
            <w:tcW w:w="3245"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1336"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高级功能</w:t>
            </w:r>
          </w:p>
        </w:tc>
        <w:tc>
          <w:tcPr>
            <w:tcW w:w="166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流转触发器</w:t>
            </w:r>
          </w:p>
        </w:tc>
        <w:tc>
          <w:tcPr>
            <w:tcW w:w="2059" w:type="dxa"/>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支持工单创建、更新、回复等多种事件；支持工单字段、客户字段等筛选条件；支持工单编辑提醒目标等多种动作</w:t>
            </w:r>
          </w:p>
        </w:tc>
        <w:tc>
          <w:tcPr>
            <w:tcW w:w="3245"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条件满足后，直接触发执行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定时触发器</w:t>
            </w:r>
          </w:p>
        </w:tc>
        <w:tc>
          <w:tcPr>
            <w:tcW w:w="2059" w:type="dxa"/>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支持工单创建、更新、回复等多种事件；支持工单字段、客户字段等筛选条件；支持工单编辑提醒目标等多种动作</w:t>
            </w:r>
          </w:p>
        </w:tc>
        <w:tc>
          <w:tcPr>
            <w:tcW w:w="3245"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定时执行，每小时执行一次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工单自动任务</w:t>
            </w:r>
          </w:p>
        </w:tc>
        <w:tc>
          <w:tcPr>
            <w:tcW w:w="2059" w:type="dxa"/>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高级SLA：支持工单创建、更新、回复等多种事件；支持工单字段、客户字段、时间等筛选条件；支持工单编辑提醒目标等多种动作</w:t>
            </w:r>
          </w:p>
        </w:tc>
        <w:tc>
          <w:tcPr>
            <w:tcW w:w="3245"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可以去除下班时间，只计算上班时间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工单上下班时间设置</w:t>
            </w:r>
          </w:p>
        </w:tc>
        <w:tc>
          <w:tcPr>
            <w:tcW w:w="2059" w:type="dxa"/>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可以设置整体上下班时间；也可以按技能组设置上下班时间；支持节假期、特殊上班时间等设置；</w:t>
            </w:r>
          </w:p>
        </w:tc>
        <w:tc>
          <w:tcPr>
            <w:tcW w:w="3245"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可以用于自动派单、SLA设置等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工单处理时间</w:t>
            </w:r>
          </w:p>
        </w:tc>
        <w:tc>
          <w:tcPr>
            <w:tcW w:w="2059" w:type="dxa"/>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工单状态计时</w:t>
            </w:r>
          </w:p>
        </w:tc>
        <w:tc>
          <w:tcPr>
            <w:tcW w:w="3245"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与SLA结合展示，通过消息通知形式通知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工单插件设置</w:t>
            </w:r>
          </w:p>
        </w:tc>
        <w:tc>
          <w:tcPr>
            <w:tcW w:w="2059" w:type="dxa"/>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支持将工单插件嵌入到第三方系统或通过扫描方式，实现通过工单SDK提交工单、查看工单进度等</w:t>
            </w:r>
          </w:p>
        </w:tc>
        <w:tc>
          <w:tcPr>
            <w:tcW w:w="3245" w:type="dxa"/>
            <w:vMerge w:val="restart"/>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留言模板设置</w:t>
            </w:r>
          </w:p>
        </w:tc>
        <w:tc>
          <w:tcPr>
            <w:tcW w:w="2059" w:type="dxa"/>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适合自定义留言模板及自定义字段等</w:t>
            </w:r>
          </w:p>
        </w:tc>
        <w:tc>
          <w:tcPr>
            <w:tcW w:w="3245"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336"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工单配置</w:t>
            </w:r>
          </w:p>
        </w:tc>
        <w:tc>
          <w:tcPr>
            <w:tcW w:w="166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自定义模板</w:t>
            </w:r>
          </w:p>
        </w:tc>
        <w:tc>
          <w:tcPr>
            <w:tcW w:w="2059" w:type="dxa"/>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可设置多项工单模板</w:t>
            </w:r>
          </w:p>
        </w:tc>
        <w:tc>
          <w:tcPr>
            <w:tcW w:w="3245" w:type="dxa"/>
            <w:vMerge w:val="restart"/>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自定义字段</w:t>
            </w:r>
          </w:p>
        </w:tc>
        <w:tc>
          <w:tcPr>
            <w:tcW w:w="2059" w:type="dxa"/>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支持文本、数字、超链接、选择、级联等多项自定义字段</w:t>
            </w:r>
          </w:p>
        </w:tc>
        <w:tc>
          <w:tcPr>
            <w:tcW w:w="3245"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工单分类</w:t>
            </w:r>
          </w:p>
        </w:tc>
        <w:tc>
          <w:tcPr>
            <w:tcW w:w="2059" w:type="dxa"/>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支持与工单模板结合</w:t>
            </w:r>
          </w:p>
        </w:tc>
        <w:tc>
          <w:tcPr>
            <w:tcW w:w="3245"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工单技能组</w:t>
            </w:r>
          </w:p>
        </w:tc>
        <w:tc>
          <w:tcPr>
            <w:tcW w:w="2059" w:type="dxa"/>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可以工单设置工单技能组，后续统计、流转都可以按此分类进行</w:t>
            </w:r>
          </w:p>
        </w:tc>
        <w:tc>
          <w:tcPr>
            <w:tcW w:w="3245"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接单数量设置</w:t>
            </w:r>
          </w:p>
        </w:tc>
        <w:tc>
          <w:tcPr>
            <w:tcW w:w="2059" w:type="dxa"/>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可对客服单独设置手动接单量</w:t>
            </w:r>
          </w:p>
        </w:tc>
        <w:tc>
          <w:tcPr>
            <w:tcW w:w="3245"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权限</w:t>
            </w:r>
          </w:p>
        </w:tc>
        <w:tc>
          <w:tcPr>
            <w:tcW w:w="2059" w:type="dxa"/>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设置工单编辑权限，包括个人、组内、全部工单操作</w:t>
            </w:r>
          </w:p>
        </w:tc>
        <w:tc>
          <w:tcPr>
            <w:tcW w:w="3245"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工单设置</w:t>
            </w:r>
          </w:p>
        </w:tc>
        <w:tc>
          <w:tcPr>
            <w:tcW w:w="2059" w:type="dxa"/>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基础设置：设置必填项、默认回复范围、工单发起人通知、发送提醒邮箱</w:t>
            </w:r>
          </w:p>
        </w:tc>
        <w:tc>
          <w:tcPr>
            <w:tcW w:w="3245"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自动接单状态设置</w:t>
            </w:r>
          </w:p>
        </w:tc>
        <w:tc>
          <w:tcPr>
            <w:tcW w:w="3245"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工单分类路径、提醒范围、重复创建工单提醒</w:t>
            </w:r>
          </w:p>
        </w:tc>
        <w:tc>
          <w:tcPr>
            <w:tcW w:w="3245"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催单设置</w:t>
            </w:r>
          </w:p>
        </w:tc>
        <w:tc>
          <w:tcPr>
            <w:tcW w:w="3245"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语音留言转工单设置</w:t>
            </w:r>
          </w:p>
        </w:tc>
        <w:tc>
          <w:tcPr>
            <w:tcW w:w="3245"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自定义满意度模板</w:t>
            </w:r>
          </w:p>
        </w:tc>
        <w:tc>
          <w:tcPr>
            <w:tcW w:w="2059" w:type="dxa"/>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添加自定义满意度模板，对留言模板分别开启和关联自定义满意度模板</w:t>
            </w:r>
          </w:p>
        </w:tc>
        <w:tc>
          <w:tcPr>
            <w:tcW w:w="3245" w:type="dxa"/>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自定义邮件模板设置</w:t>
            </w:r>
          </w:p>
        </w:tc>
        <w:tc>
          <w:tcPr>
            <w:tcW w:w="2059" w:type="dxa"/>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支持对客户及特殊客服邮件模板设置</w:t>
            </w:r>
          </w:p>
        </w:tc>
        <w:tc>
          <w:tcPr>
            <w:tcW w:w="3245" w:type="dxa"/>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自定义预设回复</w:t>
            </w:r>
          </w:p>
        </w:tc>
        <w:tc>
          <w:tcPr>
            <w:tcW w:w="2059" w:type="dxa"/>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添加自定义预设回复内容</w:t>
            </w:r>
          </w:p>
        </w:tc>
        <w:tc>
          <w:tcPr>
            <w:tcW w:w="3245" w:type="dxa"/>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336"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报表</w:t>
            </w:r>
          </w:p>
        </w:tc>
        <w:tc>
          <w:tcPr>
            <w:tcW w:w="166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整体报表</w:t>
            </w:r>
          </w:p>
        </w:tc>
        <w:tc>
          <w:tcPr>
            <w:tcW w:w="2059" w:type="dxa"/>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支持整体工单工作量查看，并且能快捷跳转到工单详情中</w:t>
            </w:r>
          </w:p>
        </w:tc>
        <w:tc>
          <w:tcPr>
            <w:tcW w:w="3245" w:type="dxa"/>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工单分类统计报表</w:t>
            </w:r>
          </w:p>
        </w:tc>
        <w:tc>
          <w:tcPr>
            <w:tcW w:w="2059" w:type="dxa"/>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分类统计工单数量、状态、解决率、关闭率等内容</w:t>
            </w:r>
          </w:p>
        </w:tc>
        <w:tc>
          <w:tcPr>
            <w:tcW w:w="3245" w:type="dxa"/>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工单满意度报表</w:t>
            </w:r>
          </w:p>
        </w:tc>
        <w:tc>
          <w:tcPr>
            <w:tcW w:w="2059" w:type="dxa"/>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查看邀请评价工单数量，评价率，评价结果评分，平均得分等内容</w:t>
            </w:r>
          </w:p>
        </w:tc>
        <w:tc>
          <w:tcPr>
            <w:tcW w:w="3245" w:type="dxa"/>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客服报表</w:t>
            </w:r>
          </w:p>
        </w:tc>
        <w:tc>
          <w:tcPr>
            <w:tcW w:w="2059" w:type="dxa"/>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分组查看工单</w:t>
            </w:r>
          </w:p>
        </w:tc>
        <w:tc>
          <w:tcPr>
            <w:tcW w:w="3245" w:type="dxa"/>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自定义报表</w:t>
            </w:r>
          </w:p>
        </w:tc>
        <w:tc>
          <w:tcPr>
            <w:tcW w:w="2059" w:type="dxa"/>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按客服组维度导出工作量</w:t>
            </w:r>
          </w:p>
        </w:tc>
        <w:tc>
          <w:tcPr>
            <w:tcW w:w="3245" w:type="dxa"/>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36"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API接口</w:t>
            </w:r>
          </w:p>
        </w:tc>
        <w:tc>
          <w:tcPr>
            <w:tcW w:w="1664" w:type="dxa"/>
            <w:vMerge w:val="restar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API接口</w:t>
            </w:r>
          </w:p>
        </w:tc>
        <w:tc>
          <w:tcPr>
            <w:tcW w:w="2059" w:type="dxa"/>
            <w:vMerge w:val="restart"/>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Cs w:val="21"/>
                <w:lang w:eastAsia="zh-CN" w:bidi="ar"/>
              </w:rPr>
            </w:pPr>
            <w:r>
              <w:rPr>
                <w:rFonts w:hint="eastAsia" w:ascii="仿宋_GB2312" w:hAnsi="仿宋_GB2312" w:eastAsia="仿宋_GB2312" w:cs="仿宋_GB2312"/>
                <w:color w:val="000000"/>
                <w:kern w:val="0"/>
                <w:szCs w:val="21"/>
                <w:lang w:bidi="ar"/>
              </w:rPr>
              <w:t>创建工单</w:t>
            </w:r>
          </w:p>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Cs w:val="21"/>
                <w:lang w:eastAsia="zh-CN" w:bidi="ar"/>
              </w:rPr>
            </w:pPr>
            <w:r>
              <w:rPr>
                <w:rFonts w:hint="eastAsia" w:ascii="仿宋_GB2312" w:hAnsi="仿宋_GB2312" w:eastAsia="仿宋_GB2312" w:cs="仿宋_GB2312"/>
                <w:color w:val="000000"/>
                <w:kern w:val="0"/>
                <w:szCs w:val="21"/>
                <w:lang w:bidi="ar"/>
              </w:rPr>
              <w:t>回复工单</w:t>
            </w:r>
          </w:p>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Cs w:val="21"/>
                <w:lang w:eastAsia="zh-CN" w:bidi="ar"/>
              </w:rPr>
            </w:pPr>
            <w:r>
              <w:rPr>
                <w:rFonts w:hint="eastAsia" w:ascii="仿宋_GB2312" w:hAnsi="仿宋_GB2312" w:eastAsia="仿宋_GB2312" w:cs="仿宋_GB2312"/>
                <w:color w:val="000000"/>
                <w:kern w:val="0"/>
                <w:szCs w:val="21"/>
                <w:lang w:bidi="ar"/>
              </w:rPr>
              <w:t>创建或回复时上传附件</w:t>
            </w:r>
          </w:p>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Cs w:val="21"/>
                <w:lang w:eastAsia="zh-CN" w:bidi="ar"/>
              </w:rPr>
            </w:pPr>
            <w:r>
              <w:rPr>
                <w:rFonts w:hint="eastAsia" w:ascii="仿宋_GB2312" w:hAnsi="仿宋_GB2312" w:eastAsia="仿宋_GB2312" w:cs="仿宋_GB2312"/>
                <w:color w:val="000000"/>
                <w:kern w:val="0"/>
                <w:szCs w:val="21"/>
                <w:lang w:bidi="ar"/>
              </w:rPr>
              <w:t>查询数据字典</w:t>
            </w:r>
          </w:p>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Cs w:val="21"/>
                <w:lang w:eastAsia="zh-CN" w:bidi="ar"/>
              </w:rPr>
            </w:pPr>
            <w:r>
              <w:rPr>
                <w:rFonts w:hint="eastAsia" w:ascii="仿宋_GB2312" w:hAnsi="仿宋_GB2312" w:eastAsia="仿宋_GB2312" w:cs="仿宋_GB2312"/>
                <w:color w:val="000000"/>
                <w:kern w:val="0"/>
                <w:szCs w:val="21"/>
                <w:lang w:bidi="ar"/>
              </w:rPr>
              <w:t>查询自定义字段定义信息</w:t>
            </w:r>
          </w:p>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Cs w:val="21"/>
                <w:lang w:eastAsia="zh-CN" w:bidi="ar"/>
              </w:rPr>
            </w:pPr>
            <w:r>
              <w:rPr>
                <w:rFonts w:hint="eastAsia" w:ascii="仿宋_GB2312" w:hAnsi="仿宋_GB2312" w:eastAsia="仿宋_GB2312" w:cs="仿宋_GB2312"/>
                <w:color w:val="000000"/>
                <w:kern w:val="0"/>
                <w:szCs w:val="21"/>
                <w:lang w:bidi="ar"/>
              </w:rPr>
              <w:t>添加选择型自定义字段选型信息</w:t>
            </w:r>
          </w:p>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Cs w:val="21"/>
                <w:lang w:eastAsia="zh-CN" w:bidi="ar"/>
              </w:rPr>
            </w:pPr>
            <w:r>
              <w:rPr>
                <w:rFonts w:hint="eastAsia" w:ascii="仿宋_GB2312" w:hAnsi="仿宋_GB2312" w:eastAsia="仿宋_GB2312" w:cs="仿宋_GB2312"/>
                <w:color w:val="000000"/>
                <w:kern w:val="0"/>
                <w:szCs w:val="21"/>
                <w:lang w:bidi="ar"/>
              </w:rPr>
              <w:t>查询工单分类关联的工单模板</w:t>
            </w:r>
          </w:p>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Cs w:val="21"/>
                <w:lang w:eastAsia="zh-CN" w:bidi="ar"/>
              </w:rPr>
            </w:pPr>
            <w:r>
              <w:rPr>
                <w:rFonts w:hint="eastAsia" w:ascii="仿宋_GB2312" w:hAnsi="仿宋_GB2312" w:eastAsia="仿宋_GB2312" w:cs="仿宋_GB2312"/>
                <w:color w:val="000000"/>
                <w:kern w:val="0"/>
                <w:szCs w:val="21"/>
                <w:lang w:bidi="ar"/>
              </w:rPr>
              <w:t>查询工单列表</w:t>
            </w:r>
          </w:p>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Cs w:val="21"/>
                <w:lang w:eastAsia="zh-CN" w:bidi="ar"/>
              </w:rPr>
            </w:pPr>
            <w:r>
              <w:rPr>
                <w:rFonts w:hint="eastAsia" w:ascii="仿宋_GB2312" w:hAnsi="仿宋_GB2312" w:eastAsia="仿宋_GB2312" w:cs="仿宋_GB2312"/>
                <w:color w:val="000000"/>
                <w:kern w:val="0"/>
                <w:szCs w:val="21"/>
                <w:lang w:bidi="ar"/>
              </w:rPr>
              <w:t>查询工单详情页</w:t>
            </w:r>
          </w:p>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Cs w:val="21"/>
                <w:lang w:eastAsia="zh-CN" w:bidi="ar"/>
              </w:rPr>
            </w:pPr>
            <w:r>
              <w:rPr>
                <w:rFonts w:hint="eastAsia" w:ascii="仿宋_GB2312" w:hAnsi="仿宋_GB2312" w:eastAsia="仿宋_GB2312" w:cs="仿宋_GB2312"/>
                <w:color w:val="000000"/>
                <w:kern w:val="0"/>
                <w:szCs w:val="21"/>
                <w:lang w:bidi="ar"/>
              </w:rPr>
              <w:t>查询工单统计概览</w:t>
            </w:r>
          </w:p>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Cs w:val="21"/>
                <w:lang w:eastAsia="zh-CN" w:bidi="ar"/>
              </w:rPr>
            </w:pPr>
            <w:r>
              <w:rPr>
                <w:rFonts w:hint="eastAsia" w:ascii="仿宋_GB2312" w:hAnsi="仿宋_GB2312" w:eastAsia="仿宋_GB2312" w:cs="仿宋_GB2312"/>
                <w:color w:val="000000"/>
                <w:kern w:val="0"/>
                <w:szCs w:val="21"/>
                <w:lang w:bidi="ar"/>
              </w:rPr>
              <w:t>查询工单客服工作量</w:t>
            </w:r>
          </w:p>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Cs w:val="21"/>
                <w:lang w:eastAsia="zh-CN" w:bidi="ar"/>
              </w:rPr>
            </w:pPr>
            <w:r>
              <w:rPr>
                <w:rFonts w:hint="eastAsia" w:ascii="仿宋_GB2312" w:hAnsi="仿宋_GB2312" w:eastAsia="仿宋_GB2312" w:cs="仿宋_GB2312"/>
                <w:color w:val="000000"/>
                <w:kern w:val="0"/>
                <w:szCs w:val="21"/>
                <w:lang w:bidi="ar"/>
              </w:rPr>
              <w:t>查询工单消息推送异常数据</w:t>
            </w:r>
          </w:p>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工单消息转发（新建、客服回复、催单）</w:t>
            </w:r>
          </w:p>
        </w:tc>
        <w:tc>
          <w:tcPr>
            <w:tcW w:w="3245" w:type="dxa"/>
            <w:vMerge w:val="restart"/>
            <w:noWrap w:val="0"/>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vMerge w:val="continue"/>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000000"/>
                <w:szCs w:val="21"/>
              </w:rPr>
            </w:pPr>
          </w:p>
        </w:tc>
        <w:tc>
          <w:tcPr>
            <w:tcW w:w="3245"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vMerge w:val="continue"/>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000000"/>
                <w:szCs w:val="21"/>
              </w:rPr>
            </w:pPr>
          </w:p>
        </w:tc>
        <w:tc>
          <w:tcPr>
            <w:tcW w:w="3245"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vMerge w:val="continue"/>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000000"/>
                <w:szCs w:val="21"/>
              </w:rPr>
            </w:pPr>
          </w:p>
        </w:tc>
        <w:tc>
          <w:tcPr>
            <w:tcW w:w="3245"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vMerge w:val="continue"/>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000000"/>
                <w:szCs w:val="21"/>
              </w:rPr>
            </w:pPr>
          </w:p>
        </w:tc>
        <w:tc>
          <w:tcPr>
            <w:tcW w:w="3245"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vMerge w:val="continue"/>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000000"/>
                <w:szCs w:val="21"/>
              </w:rPr>
            </w:pPr>
          </w:p>
        </w:tc>
        <w:tc>
          <w:tcPr>
            <w:tcW w:w="3245"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vMerge w:val="continue"/>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000000"/>
                <w:szCs w:val="21"/>
              </w:rPr>
            </w:pPr>
          </w:p>
        </w:tc>
        <w:tc>
          <w:tcPr>
            <w:tcW w:w="3245"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vMerge w:val="continue"/>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000000"/>
                <w:szCs w:val="21"/>
              </w:rPr>
            </w:pPr>
          </w:p>
        </w:tc>
        <w:tc>
          <w:tcPr>
            <w:tcW w:w="3245"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vMerge w:val="continue"/>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000000"/>
                <w:szCs w:val="21"/>
              </w:rPr>
            </w:pPr>
          </w:p>
        </w:tc>
        <w:tc>
          <w:tcPr>
            <w:tcW w:w="3245"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vMerge w:val="continue"/>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000000"/>
                <w:szCs w:val="21"/>
              </w:rPr>
            </w:pPr>
          </w:p>
        </w:tc>
        <w:tc>
          <w:tcPr>
            <w:tcW w:w="3245"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vMerge w:val="continue"/>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000000"/>
                <w:szCs w:val="21"/>
              </w:rPr>
            </w:pPr>
          </w:p>
        </w:tc>
        <w:tc>
          <w:tcPr>
            <w:tcW w:w="3245"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vMerge w:val="continue"/>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000000"/>
                <w:szCs w:val="21"/>
              </w:rPr>
            </w:pPr>
          </w:p>
        </w:tc>
        <w:tc>
          <w:tcPr>
            <w:tcW w:w="3245"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vMerge w:val="continue"/>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000000"/>
                <w:szCs w:val="21"/>
              </w:rPr>
            </w:pPr>
          </w:p>
        </w:tc>
        <w:tc>
          <w:tcPr>
            <w:tcW w:w="3245"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vMerge w:val="continue"/>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000000"/>
                <w:szCs w:val="21"/>
              </w:rPr>
            </w:pPr>
          </w:p>
        </w:tc>
        <w:tc>
          <w:tcPr>
            <w:tcW w:w="3245"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vMerge w:val="continue"/>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000000"/>
                <w:szCs w:val="21"/>
              </w:rPr>
            </w:pPr>
          </w:p>
        </w:tc>
        <w:tc>
          <w:tcPr>
            <w:tcW w:w="3245"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vMerge w:val="continue"/>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000000"/>
                <w:szCs w:val="21"/>
              </w:rPr>
            </w:pPr>
          </w:p>
        </w:tc>
        <w:tc>
          <w:tcPr>
            <w:tcW w:w="3245"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336"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1664" w:type="dxa"/>
            <w:vMerge w:val="continue"/>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Cs w:val="21"/>
              </w:rPr>
            </w:pPr>
          </w:p>
        </w:tc>
        <w:tc>
          <w:tcPr>
            <w:tcW w:w="2059" w:type="dxa"/>
            <w:vMerge w:val="continue"/>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000000"/>
                <w:szCs w:val="21"/>
              </w:rPr>
            </w:pPr>
          </w:p>
        </w:tc>
        <w:tc>
          <w:tcPr>
            <w:tcW w:w="3245" w:type="dxa"/>
            <w:vMerge w:val="continue"/>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000000"/>
                <w:szCs w:val="21"/>
              </w:rPr>
            </w:pPr>
          </w:p>
        </w:tc>
      </w:tr>
    </w:tbl>
    <w:p>
      <w:pPr>
        <w:widowControl/>
        <w:spacing w:line="560" w:lineRule="exact"/>
        <w:jc w:val="left"/>
        <w:rPr>
          <w:rFonts w:hint="eastAsia" w:eastAsia="黑体"/>
          <w:bCs/>
          <w:color w:val="auto"/>
          <w:kern w:val="0"/>
          <w:sz w:val="32"/>
          <w:szCs w:val="32"/>
          <w:highlight w:val="none"/>
        </w:rPr>
      </w:pPr>
    </w:p>
    <w:p>
      <w:pPr>
        <w:widowControl/>
        <w:jc w:val="left"/>
        <w:rPr>
          <w:rFonts w:hint="eastAsia" w:eastAsia="黑体"/>
          <w:bCs/>
          <w:color w:val="auto"/>
          <w:kern w:val="0"/>
          <w:sz w:val="32"/>
          <w:szCs w:val="32"/>
          <w:highlight w:val="none"/>
        </w:rPr>
      </w:pPr>
      <w:r>
        <w:rPr>
          <w:rFonts w:hint="eastAsia" w:ascii="仿宋" w:hAnsi="仿宋" w:eastAsia="仿宋" w:cs="仿宋"/>
          <w:bCs/>
          <w:color w:val="auto"/>
          <w:kern w:val="0"/>
          <w:sz w:val="32"/>
          <w:szCs w:val="32"/>
          <w:highlight w:val="none"/>
        </w:rPr>
        <w:br w:type="page"/>
      </w:r>
      <w:r>
        <w:rPr>
          <w:rFonts w:hint="eastAsia" w:ascii="仿宋" w:hAnsi="仿宋" w:eastAsia="仿宋" w:cs="仿宋"/>
          <w:bCs/>
          <w:color w:val="auto"/>
          <w:kern w:val="0"/>
          <w:sz w:val="28"/>
          <w:szCs w:val="28"/>
          <w:highlight w:val="none"/>
        </w:rPr>
        <w:t>合同附件二</w:t>
      </w:r>
    </w:p>
    <w:tbl>
      <w:tblPr>
        <w:tblStyle w:val="17"/>
        <w:tblW w:w="9287" w:type="dxa"/>
        <w:tblInd w:w="0" w:type="dxa"/>
        <w:tblLayout w:type="fixed"/>
        <w:tblCellMar>
          <w:top w:w="0" w:type="dxa"/>
          <w:left w:w="108" w:type="dxa"/>
          <w:bottom w:w="0" w:type="dxa"/>
          <w:right w:w="108" w:type="dxa"/>
        </w:tblCellMar>
      </w:tblPr>
      <w:tblGrid>
        <w:gridCol w:w="834"/>
        <w:gridCol w:w="1507"/>
        <w:gridCol w:w="1190"/>
        <w:gridCol w:w="885"/>
        <w:gridCol w:w="720"/>
        <w:gridCol w:w="1560"/>
        <w:gridCol w:w="2591"/>
      </w:tblGrid>
      <w:tr>
        <w:tblPrEx>
          <w:tblCellMar>
            <w:top w:w="0" w:type="dxa"/>
            <w:left w:w="108" w:type="dxa"/>
            <w:bottom w:w="0" w:type="dxa"/>
            <w:right w:w="108" w:type="dxa"/>
          </w:tblCellMar>
        </w:tblPrEx>
        <w:trPr>
          <w:trHeight w:val="660" w:hRule="atLeast"/>
        </w:trPr>
        <w:tc>
          <w:tcPr>
            <w:tcW w:w="9287" w:type="dxa"/>
            <w:gridSpan w:val="7"/>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tabs>
                <w:tab w:val="left" w:pos="2790"/>
              </w:tabs>
              <w:spacing w:before="0" w:beforeAutospacing="0" w:after="0" w:afterAutospacing="0"/>
              <w:ind w:left="0" w:right="0"/>
              <w:jc w:val="center"/>
              <w:rPr>
                <w:rFonts w:hint="eastAsia"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8"/>
                <w:szCs w:val="28"/>
                <w:highlight w:val="none"/>
              </w:rPr>
              <w:t>服务费用明细</w:t>
            </w:r>
          </w:p>
        </w:tc>
      </w:tr>
      <w:tr>
        <w:tblPrEx>
          <w:tblCellMar>
            <w:top w:w="0" w:type="dxa"/>
            <w:left w:w="108" w:type="dxa"/>
            <w:bottom w:w="0" w:type="dxa"/>
            <w:right w:w="108" w:type="dxa"/>
          </w:tblCellMar>
        </w:tblPrEx>
        <w:trPr>
          <w:trHeight w:val="660" w:hRule="atLeast"/>
        </w:trPr>
        <w:tc>
          <w:tcPr>
            <w:tcW w:w="8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序号</w:t>
            </w:r>
          </w:p>
        </w:tc>
        <w:tc>
          <w:tcPr>
            <w:tcW w:w="1507"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项目名称</w:t>
            </w:r>
          </w:p>
        </w:tc>
        <w:tc>
          <w:tcPr>
            <w:tcW w:w="119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单价</w:t>
            </w:r>
          </w:p>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（元）</w:t>
            </w:r>
          </w:p>
        </w:tc>
        <w:tc>
          <w:tcPr>
            <w:tcW w:w="885"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单位</w:t>
            </w:r>
          </w:p>
        </w:tc>
        <w:tc>
          <w:tcPr>
            <w:tcW w:w="72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数量</w:t>
            </w:r>
          </w:p>
        </w:tc>
        <w:tc>
          <w:tcPr>
            <w:tcW w:w="156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年小计</w:t>
            </w:r>
          </w:p>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（万元）</w:t>
            </w:r>
          </w:p>
        </w:tc>
        <w:tc>
          <w:tcPr>
            <w:tcW w:w="259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备注</w:t>
            </w:r>
          </w:p>
        </w:tc>
      </w:tr>
      <w:tr>
        <w:tblPrEx>
          <w:tblCellMar>
            <w:top w:w="0" w:type="dxa"/>
            <w:left w:w="108" w:type="dxa"/>
            <w:bottom w:w="0" w:type="dxa"/>
            <w:right w:w="108" w:type="dxa"/>
          </w:tblCellMar>
        </w:tblPrEx>
        <w:trPr>
          <w:trHeight w:val="1380" w:hRule="atLeast"/>
        </w:trPr>
        <w:tc>
          <w:tcPr>
            <w:tcW w:w="83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w:t>
            </w:r>
          </w:p>
        </w:tc>
        <w:tc>
          <w:tcPr>
            <w:tcW w:w="1507"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客服系统</w:t>
            </w:r>
          </w:p>
        </w:tc>
        <w:tc>
          <w:tcPr>
            <w:tcW w:w="119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highlight w:val="none"/>
              </w:rPr>
            </w:pPr>
          </w:p>
        </w:tc>
        <w:tc>
          <w:tcPr>
            <w:tcW w:w="88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套/年</w:t>
            </w:r>
          </w:p>
        </w:tc>
        <w:tc>
          <w:tcPr>
            <w:tcW w:w="7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highlight w:val="none"/>
              </w:rPr>
            </w:pPr>
          </w:p>
        </w:tc>
        <w:tc>
          <w:tcPr>
            <w:tcW w:w="156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highlight w:val="none"/>
              </w:rPr>
            </w:pPr>
          </w:p>
        </w:tc>
        <w:tc>
          <w:tcPr>
            <w:tcW w:w="259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1.为租用客服系统一年期费用，另行开发需另行付费；</w:t>
            </w:r>
          </w:p>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2.提供</w:t>
            </w:r>
            <w:r>
              <w:rPr>
                <w:rFonts w:hint="eastAsia" w:ascii="仿宋_GB2312" w:hAnsi="仿宋_GB2312" w:eastAsia="仿宋_GB2312" w:cs="仿宋_GB2312"/>
                <w:color w:val="auto"/>
                <w:kern w:val="0"/>
                <w:sz w:val="24"/>
                <w:szCs w:val="24"/>
                <w:highlight w:val="none"/>
                <w:lang w:val="en-US" w:eastAsia="zh-CN"/>
              </w:rPr>
              <w:t>8个全渠道</w:t>
            </w:r>
            <w:r>
              <w:rPr>
                <w:rFonts w:hint="eastAsia" w:ascii="仿宋_GB2312" w:hAnsi="仿宋_GB2312" w:eastAsia="仿宋_GB2312" w:cs="仿宋_GB2312"/>
                <w:color w:val="auto"/>
                <w:kern w:val="0"/>
                <w:sz w:val="24"/>
                <w:szCs w:val="24"/>
                <w:highlight w:val="none"/>
              </w:rPr>
              <w:t>坐席账号</w:t>
            </w:r>
            <w:r>
              <w:rPr>
                <w:rFonts w:hint="eastAsia" w:ascii="仿宋_GB2312" w:hAnsi="仿宋_GB2312" w:eastAsia="仿宋_GB2312" w:cs="仿宋_GB2312"/>
                <w:color w:val="auto"/>
                <w:kern w:val="0"/>
                <w:sz w:val="24"/>
                <w:szCs w:val="24"/>
                <w:highlight w:val="none"/>
                <w:lang w:eastAsia="zh-CN"/>
              </w:rPr>
              <w:t>（</w:t>
            </w:r>
            <w:r>
              <w:rPr>
                <w:rFonts w:hint="eastAsia" w:ascii="仿宋_GB2312" w:hAnsi="仿宋_GB2312" w:eastAsia="仿宋_GB2312" w:cs="仿宋_GB2312"/>
                <w:color w:val="auto"/>
                <w:kern w:val="0"/>
                <w:sz w:val="24"/>
                <w:szCs w:val="24"/>
                <w:highlight w:val="none"/>
                <w:lang w:val="en-US" w:eastAsia="zh-CN"/>
              </w:rPr>
              <w:t>1年使用期限</w:t>
            </w:r>
            <w:r>
              <w:rPr>
                <w:rFonts w:hint="eastAsia" w:ascii="仿宋_GB2312" w:hAnsi="仿宋_GB2312" w:eastAsia="仿宋_GB2312" w:cs="仿宋_GB2312"/>
                <w:color w:val="auto"/>
                <w:kern w:val="0"/>
                <w:sz w:val="24"/>
                <w:szCs w:val="24"/>
                <w:highlight w:val="none"/>
                <w:lang w:eastAsia="zh-CN"/>
              </w:rPr>
              <w:t>）及</w:t>
            </w:r>
            <w:r>
              <w:rPr>
                <w:rFonts w:hint="eastAsia" w:ascii="仿宋_GB2312" w:hAnsi="仿宋_GB2312" w:eastAsia="仿宋_GB2312" w:cs="仿宋_GB2312"/>
                <w:color w:val="auto"/>
                <w:kern w:val="0"/>
                <w:sz w:val="24"/>
                <w:szCs w:val="24"/>
                <w:highlight w:val="none"/>
                <w:lang w:val="en-US" w:eastAsia="zh-CN"/>
              </w:rPr>
              <w:t>20个会期全渠道坐席账号（3个月使用期限）</w:t>
            </w:r>
            <w:r>
              <w:rPr>
                <w:rFonts w:hint="eastAsia" w:ascii="仿宋_GB2312" w:hAnsi="仿宋_GB2312" w:eastAsia="仿宋_GB2312" w:cs="仿宋_GB2312"/>
                <w:color w:val="auto"/>
                <w:kern w:val="0"/>
                <w:sz w:val="24"/>
                <w:highlight w:val="none"/>
              </w:rPr>
              <w:t>。</w:t>
            </w:r>
          </w:p>
        </w:tc>
      </w:tr>
      <w:tr>
        <w:tblPrEx>
          <w:tblCellMar>
            <w:top w:w="0" w:type="dxa"/>
            <w:left w:w="108" w:type="dxa"/>
            <w:bottom w:w="0" w:type="dxa"/>
            <w:right w:w="108" w:type="dxa"/>
          </w:tblCellMar>
        </w:tblPrEx>
        <w:trPr>
          <w:trHeight w:val="945" w:hRule="atLeast"/>
        </w:trPr>
        <w:tc>
          <w:tcPr>
            <w:tcW w:w="834"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w:t>
            </w:r>
          </w:p>
        </w:tc>
        <w:tc>
          <w:tcPr>
            <w:tcW w:w="1507"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驻场人员</w:t>
            </w:r>
          </w:p>
        </w:tc>
        <w:tc>
          <w:tcPr>
            <w:tcW w:w="119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highlight w:val="none"/>
              </w:rPr>
            </w:pPr>
          </w:p>
        </w:tc>
        <w:tc>
          <w:tcPr>
            <w:tcW w:w="885"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人/年</w:t>
            </w:r>
          </w:p>
        </w:tc>
        <w:tc>
          <w:tcPr>
            <w:tcW w:w="72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highlight w:val="none"/>
              </w:rPr>
            </w:pPr>
          </w:p>
        </w:tc>
        <w:tc>
          <w:tcPr>
            <w:tcW w:w="156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highlight w:val="none"/>
              </w:rPr>
            </w:pPr>
          </w:p>
        </w:tc>
        <w:tc>
          <w:tcPr>
            <w:tcW w:w="259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中英双语客服，一年编制。</w:t>
            </w:r>
          </w:p>
        </w:tc>
      </w:tr>
      <w:tr>
        <w:tblPrEx>
          <w:tblCellMar>
            <w:top w:w="0" w:type="dxa"/>
            <w:left w:w="108" w:type="dxa"/>
            <w:bottom w:w="0" w:type="dxa"/>
            <w:right w:w="108" w:type="dxa"/>
          </w:tblCellMar>
        </w:tblPrEx>
        <w:trPr>
          <w:trHeight w:val="838" w:hRule="atLeast"/>
        </w:trPr>
        <w:tc>
          <w:tcPr>
            <w:tcW w:w="834"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auto"/>
                <w:kern w:val="0"/>
                <w:sz w:val="24"/>
                <w:highlight w:val="none"/>
              </w:rPr>
            </w:pPr>
          </w:p>
        </w:tc>
        <w:tc>
          <w:tcPr>
            <w:tcW w:w="1507"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auto"/>
                <w:kern w:val="0"/>
                <w:sz w:val="24"/>
                <w:highlight w:val="none"/>
              </w:rPr>
            </w:pPr>
          </w:p>
        </w:tc>
        <w:tc>
          <w:tcPr>
            <w:tcW w:w="119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highlight w:val="none"/>
              </w:rPr>
            </w:pPr>
          </w:p>
        </w:tc>
        <w:tc>
          <w:tcPr>
            <w:tcW w:w="885"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人/月</w:t>
            </w:r>
          </w:p>
        </w:tc>
        <w:tc>
          <w:tcPr>
            <w:tcW w:w="72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highlight w:val="none"/>
              </w:rPr>
            </w:pPr>
          </w:p>
        </w:tc>
        <w:tc>
          <w:tcPr>
            <w:tcW w:w="156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highlight w:val="none"/>
              </w:rPr>
            </w:pPr>
          </w:p>
        </w:tc>
        <w:tc>
          <w:tcPr>
            <w:tcW w:w="259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中英双语客服，会期短期编制。</w:t>
            </w:r>
          </w:p>
        </w:tc>
      </w:tr>
      <w:tr>
        <w:tblPrEx>
          <w:tblCellMar>
            <w:top w:w="0" w:type="dxa"/>
            <w:left w:w="108" w:type="dxa"/>
            <w:bottom w:w="0" w:type="dxa"/>
            <w:right w:w="108" w:type="dxa"/>
          </w:tblCellMar>
        </w:tblPrEx>
        <w:trPr>
          <w:trHeight w:val="600" w:hRule="atLeast"/>
        </w:trPr>
        <w:tc>
          <w:tcPr>
            <w:tcW w:w="834"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w:t>
            </w:r>
          </w:p>
        </w:tc>
        <w:tc>
          <w:tcPr>
            <w:tcW w:w="1507"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通信费--语音中继</w:t>
            </w:r>
          </w:p>
        </w:tc>
        <w:tc>
          <w:tcPr>
            <w:tcW w:w="119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highlight w:val="none"/>
              </w:rPr>
            </w:pPr>
          </w:p>
        </w:tc>
        <w:tc>
          <w:tcPr>
            <w:tcW w:w="88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元/月</w:t>
            </w:r>
          </w:p>
        </w:tc>
        <w:tc>
          <w:tcPr>
            <w:tcW w:w="7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highlight w:val="none"/>
              </w:rPr>
            </w:pPr>
          </w:p>
        </w:tc>
        <w:tc>
          <w:tcPr>
            <w:tcW w:w="156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highlight w:val="none"/>
              </w:rPr>
            </w:pPr>
          </w:p>
        </w:tc>
        <w:tc>
          <w:tcPr>
            <w:tcW w:w="259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一条2M语音中继，支持30路并发。</w:t>
            </w:r>
          </w:p>
        </w:tc>
      </w:tr>
      <w:tr>
        <w:tblPrEx>
          <w:tblCellMar>
            <w:top w:w="0" w:type="dxa"/>
            <w:left w:w="108" w:type="dxa"/>
            <w:bottom w:w="0" w:type="dxa"/>
            <w:right w:w="108" w:type="dxa"/>
          </w:tblCellMar>
        </w:tblPrEx>
        <w:trPr>
          <w:trHeight w:val="815" w:hRule="atLeast"/>
        </w:trPr>
        <w:tc>
          <w:tcPr>
            <w:tcW w:w="8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auto"/>
                <w:kern w:val="0"/>
                <w:sz w:val="24"/>
                <w:highlight w:val="none"/>
              </w:rPr>
            </w:pPr>
          </w:p>
        </w:tc>
        <w:tc>
          <w:tcPr>
            <w:tcW w:w="1507"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通信费--语音接听</w:t>
            </w:r>
          </w:p>
        </w:tc>
        <w:tc>
          <w:tcPr>
            <w:tcW w:w="119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highlight w:val="none"/>
              </w:rPr>
            </w:pPr>
          </w:p>
        </w:tc>
        <w:tc>
          <w:tcPr>
            <w:tcW w:w="88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highlight w:val="none"/>
              </w:rPr>
            </w:pPr>
          </w:p>
        </w:tc>
        <w:tc>
          <w:tcPr>
            <w:tcW w:w="7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highlight w:val="none"/>
              </w:rPr>
            </w:pPr>
          </w:p>
        </w:tc>
        <w:tc>
          <w:tcPr>
            <w:tcW w:w="156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highlight w:val="none"/>
              </w:rPr>
            </w:pPr>
          </w:p>
        </w:tc>
        <w:tc>
          <w:tcPr>
            <w:tcW w:w="259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电话接听免费</w:t>
            </w:r>
          </w:p>
        </w:tc>
      </w:tr>
      <w:tr>
        <w:tblPrEx>
          <w:tblCellMar>
            <w:top w:w="0" w:type="dxa"/>
            <w:left w:w="108" w:type="dxa"/>
            <w:bottom w:w="0" w:type="dxa"/>
            <w:right w:w="108" w:type="dxa"/>
          </w:tblCellMar>
        </w:tblPrEx>
        <w:trPr>
          <w:trHeight w:val="559" w:hRule="atLeast"/>
        </w:trPr>
        <w:tc>
          <w:tcPr>
            <w:tcW w:w="8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auto"/>
                <w:kern w:val="0"/>
                <w:sz w:val="24"/>
                <w:highlight w:val="none"/>
              </w:rPr>
            </w:pPr>
          </w:p>
        </w:tc>
        <w:tc>
          <w:tcPr>
            <w:tcW w:w="1507"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通信费--语音拨打</w:t>
            </w:r>
          </w:p>
        </w:tc>
        <w:tc>
          <w:tcPr>
            <w:tcW w:w="119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highlight w:val="none"/>
              </w:rPr>
            </w:pPr>
          </w:p>
        </w:tc>
        <w:tc>
          <w:tcPr>
            <w:tcW w:w="88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highlight w:val="none"/>
              </w:rPr>
            </w:pPr>
          </w:p>
        </w:tc>
        <w:tc>
          <w:tcPr>
            <w:tcW w:w="7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highlight w:val="none"/>
              </w:rPr>
            </w:pPr>
          </w:p>
        </w:tc>
        <w:tc>
          <w:tcPr>
            <w:tcW w:w="156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highlight w:val="none"/>
              </w:rPr>
            </w:pPr>
          </w:p>
        </w:tc>
        <w:tc>
          <w:tcPr>
            <w:tcW w:w="259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1.按实际产生费用结算；</w:t>
            </w:r>
          </w:p>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2.甲方根据实际业务需求，可向乙方提出短期升级三倍通话时长的申请，即100元话费可以拨打300元话费的通话时长。</w:t>
            </w:r>
          </w:p>
        </w:tc>
      </w:tr>
      <w:tr>
        <w:tblPrEx>
          <w:tblCellMar>
            <w:top w:w="0" w:type="dxa"/>
            <w:left w:w="108" w:type="dxa"/>
            <w:bottom w:w="0" w:type="dxa"/>
            <w:right w:w="108" w:type="dxa"/>
          </w:tblCellMar>
        </w:tblPrEx>
        <w:trPr>
          <w:trHeight w:val="802" w:hRule="atLeast"/>
        </w:trPr>
        <w:tc>
          <w:tcPr>
            <w:tcW w:w="8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auto"/>
                <w:kern w:val="0"/>
                <w:sz w:val="24"/>
                <w:highlight w:val="none"/>
              </w:rPr>
            </w:pPr>
          </w:p>
        </w:tc>
        <w:tc>
          <w:tcPr>
            <w:tcW w:w="15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短信费</w:t>
            </w:r>
          </w:p>
        </w:tc>
        <w:tc>
          <w:tcPr>
            <w:tcW w:w="1190"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highlight w:val="none"/>
              </w:rPr>
            </w:pPr>
          </w:p>
        </w:tc>
        <w:tc>
          <w:tcPr>
            <w:tcW w:w="885"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highlight w:val="none"/>
              </w:rPr>
            </w:pPr>
          </w:p>
        </w:tc>
        <w:tc>
          <w:tcPr>
            <w:tcW w:w="72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highlight w:val="none"/>
              </w:rPr>
            </w:pPr>
          </w:p>
        </w:tc>
        <w:tc>
          <w:tcPr>
            <w:tcW w:w="156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highlight w:val="none"/>
              </w:rPr>
            </w:pPr>
          </w:p>
        </w:tc>
        <w:tc>
          <w:tcPr>
            <w:tcW w:w="259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按实际产生费用结算，三网触达。</w:t>
            </w:r>
          </w:p>
        </w:tc>
      </w:tr>
      <w:tr>
        <w:tblPrEx>
          <w:tblCellMar>
            <w:top w:w="0" w:type="dxa"/>
            <w:left w:w="108" w:type="dxa"/>
            <w:bottom w:w="0" w:type="dxa"/>
            <w:right w:w="108" w:type="dxa"/>
          </w:tblCellMar>
        </w:tblPrEx>
        <w:trPr>
          <w:trHeight w:val="786" w:hRule="atLeast"/>
        </w:trPr>
        <w:tc>
          <w:tcPr>
            <w:tcW w:w="5136" w:type="dxa"/>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合计</w:t>
            </w:r>
          </w:p>
        </w:tc>
        <w:tc>
          <w:tcPr>
            <w:tcW w:w="1560"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highlight w:val="none"/>
              </w:rPr>
            </w:pPr>
          </w:p>
        </w:tc>
        <w:tc>
          <w:tcPr>
            <w:tcW w:w="259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color w:val="auto"/>
                <w:kern w:val="0"/>
                <w:sz w:val="24"/>
                <w:highlight w:val="none"/>
              </w:rPr>
            </w:pPr>
          </w:p>
        </w:tc>
      </w:tr>
    </w:tbl>
    <w:p>
      <w:pPr>
        <w:pStyle w:val="15"/>
        <w:spacing w:line="520" w:lineRule="exact"/>
        <w:jc w:val="both"/>
        <w:outlineLvl w:val="0"/>
        <w:rPr>
          <w:rFonts w:eastAsia="Times New Roman"/>
          <w:b/>
          <w:color w:val="auto"/>
          <w:sz w:val="32"/>
          <w:szCs w:val="32"/>
          <w:highlight w:val="none"/>
        </w:rPr>
      </w:pPr>
      <w:r>
        <w:rPr>
          <w:rFonts w:hint="eastAsia" w:ascii="宋体" w:hAnsi="宋体" w:cs="Angsana New"/>
          <w:bCs/>
          <w:color w:val="auto"/>
          <w:kern w:val="0"/>
          <w:sz w:val="32"/>
          <w:szCs w:val="32"/>
          <w:highlight w:val="none"/>
          <w:lang w:bidi="ar"/>
        </w:rPr>
        <w:br w:type="page"/>
      </w:r>
      <w:bookmarkStart w:id="25" w:name="_Toc6061"/>
      <w:r>
        <w:rPr>
          <w:rFonts w:hint="eastAsia" w:ascii="宋体" w:hAnsi="宋体" w:cs="宋体"/>
          <w:b/>
          <w:color w:val="auto"/>
          <w:sz w:val="32"/>
          <w:szCs w:val="32"/>
          <w:highlight w:val="none"/>
        </w:rPr>
        <w:t>第</w:t>
      </w:r>
      <w:r>
        <w:rPr>
          <w:rFonts w:ascii="宋体" w:hAnsi="宋体" w:cs="宋体"/>
          <w:b/>
          <w:color w:val="auto"/>
          <w:sz w:val="32"/>
          <w:szCs w:val="32"/>
          <w:highlight w:val="none"/>
        </w:rPr>
        <w:t>六</w:t>
      </w:r>
      <w:r>
        <w:rPr>
          <w:rFonts w:hint="eastAsia" w:ascii="宋体" w:hAnsi="宋体" w:cs="宋体"/>
          <w:b/>
          <w:color w:val="auto"/>
          <w:sz w:val="32"/>
          <w:szCs w:val="32"/>
          <w:highlight w:val="none"/>
        </w:rPr>
        <w:t>章</w:t>
      </w:r>
      <w:r>
        <w:rPr>
          <w:rFonts w:eastAsia="Times New Roman"/>
          <w:b/>
          <w:color w:val="auto"/>
          <w:sz w:val="32"/>
          <w:szCs w:val="32"/>
          <w:highlight w:val="none"/>
        </w:rPr>
        <w:t xml:space="preserve"> </w:t>
      </w:r>
      <w:r>
        <w:rPr>
          <w:rFonts w:hint="eastAsia" w:ascii="宋体" w:hAnsi="宋体" w:cs="宋体"/>
          <w:b/>
          <w:color w:val="auto"/>
          <w:sz w:val="32"/>
          <w:szCs w:val="32"/>
          <w:highlight w:val="none"/>
        </w:rPr>
        <w:t>竞标响应文件格式</w:t>
      </w:r>
      <w:bookmarkEnd w:id="23"/>
      <w:bookmarkEnd w:id="25"/>
    </w:p>
    <w:p>
      <w:pPr>
        <w:jc w:val="center"/>
        <w:rPr>
          <w:rFonts w:eastAsia="Times New Roman"/>
          <w:b/>
          <w:color w:val="auto"/>
          <w:sz w:val="28"/>
          <w:szCs w:val="28"/>
          <w:highlight w:val="none"/>
        </w:rPr>
      </w:pPr>
    </w:p>
    <w:p>
      <w:pPr>
        <w:jc w:val="center"/>
        <w:outlineLvl w:val="0"/>
        <w:rPr>
          <w:rFonts w:hint="eastAsia"/>
          <w:b/>
          <w:color w:val="auto"/>
          <w:sz w:val="28"/>
          <w:szCs w:val="28"/>
          <w:highlight w:val="none"/>
        </w:rPr>
      </w:pPr>
      <w:bookmarkStart w:id="26" w:name="_Toc15198"/>
      <w:bookmarkStart w:id="27" w:name="_Toc2487"/>
      <w:r>
        <w:rPr>
          <w:rFonts w:hint="eastAsia"/>
          <w:b/>
          <w:color w:val="auto"/>
          <w:sz w:val="28"/>
          <w:szCs w:val="28"/>
          <w:highlight w:val="none"/>
        </w:rPr>
        <w:t>（封面）</w:t>
      </w:r>
      <w:bookmarkEnd w:id="26"/>
      <w:bookmarkEnd w:id="27"/>
    </w:p>
    <w:p>
      <w:pPr>
        <w:pStyle w:val="34"/>
        <w:rPr>
          <w:color w:val="auto"/>
          <w:highlight w:val="none"/>
        </w:rPr>
      </w:pPr>
    </w:p>
    <w:p>
      <w:pPr>
        <w:jc w:val="center"/>
        <w:rPr>
          <w:rFonts w:eastAsia="Times New Roman"/>
          <w:color w:val="auto"/>
          <w:sz w:val="30"/>
          <w:szCs w:val="30"/>
          <w:highlight w:val="none"/>
        </w:rPr>
      </w:pPr>
      <w:r>
        <w:rPr>
          <w:rFonts w:eastAsia="Times New Roman"/>
          <w:color w:val="auto"/>
          <w:sz w:val="30"/>
          <w:szCs w:val="30"/>
          <w:highlight w:val="none"/>
        </w:rPr>
        <w:t xml:space="preserve">  </w:t>
      </w:r>
    </w:p>
    <w:p>
      <w:pPr>
        <w:jc w:val="center"/>
        <w:rPr>
          <w:rFonts w:eastAsia="Times New Roman"/>
          <w:color w:val="auto"/>
          <w:sz w:val="84"/>
          <w:szCs w:val="52"/>
          <w:highlight w:val="none"/>
        </w:rPr>
      </w:pPr>
    </w:p>
    <w:p>
      <w:pPr>
        <w:jc w:val="center"/>
        <w:outlineLvl w:val="0"/>
        <w:rPr>
          <w:rFonts w:eastAsia="方正小标宋简体"/>
          <w:b/>
          <w:color w:val="auto"/>
          <w:sz w:val="72"/>
          <w:szCs w:val="72"/>
          <w:highlight w:val="none"/>
        </w:rPr>
      </w:pPr>
      <w:bookmarkStart w:id="28" w:name="_Toc8678"/>
      <w:bookmarkStart w:id="29" w:name="_Toc2537"/>
      <w:r>
        <w:rPr>
          <w:rFonts w:hint="eastAsia" w:eastAsia="方正小标宋简体"/>
          <w:b/>
          <w:color w:val="auto"/>
          <w:sz w:val="72"/>
          <w:szCs w:val="72"/>
          <w:highlight w:val="none"/>
        </w:rPr>
        <w:t>竞争性磋商响应文件</w:t>
      </w:r>
      <w:bookmarkEnd w:id="28"/>
      <w:bookmarkEnd w:id="29"/>
    </w:p>
    <w:p>
      <w:pPr>
        <w:spacing w:line="440" w:lineRule="exact"/>
        <w:rPr>
          <w:rFonts w:eastAsia="Times New Roman"/>
          <w:color w:val="auto"/>
          <w:sz w:val="28"/>
          <w:szCs w:val="28"/>
          <w:highlight w:val="none"/>
          <w:u w:val="single"/>
        </w:rPr>
      </w:pPr>
    </w:p>
    <w:p>
      <w:pPr>
        <w:spacing w:line="440" w:lineRule="exact"/>
        <w:rPr>
          <w:rFonts w:eastAsia="Times New Roman"/>
          <w:color w:val="auto"/>
          <w:sz w:val="28"/>
          <w:szCs w:val="28"/>
          <w:highlight w:val="none"/>
          <w:u w:val="single"/>
        </w:rPr>
      </w:pPr>
    </w:p>
    <w:p>
      <w:pPr>
        <w:spacing w:line="440" w:lineRule="exact"/>
        <w:rPr>
          <w:rFonts w:eastAsia="Times New Roman"/>
          <w:color w:val="auto"/>
          <w:sz w:val="28"/>
          <w:szCs w:val="28"/>
          <w:highlight w:val="none"/>
          <w:u w:val="single"/>
        </w:rPr>
      </w:pPr>
    </w:p>
    <w:p>
      <w:pPr>
        <w:tabs>
          <w:tab w:val="left" w:pos="840"/>
        </w:tabs>
        <w:ind w:firstLine="1783" w:firstLineChars="637"/>
        <w:rPr>
          <w:rFonts w:eastAsia="Times New Roman"/>
          <w:color w:val="auto"/>
          <w:sz w:val="28"/>
          <w:szCs w:val="28"/>
          <w:highlight w:val="none"/>
        </w:rPr>
      </w:pPr>
    </w:p>
    <w:p>
      <w:pPr>
        <w:ind w:firstLine="1540" w:firstLineChars="550"/>
        <w:rPr>
          <w:rFonts w:eastAsia="Times New Roman"/>
          <w:color w:val="auto"/>
          <w:sz w:val="28"/>
          <w:szCs w:val="28"/>
          <w:highlight w:val="none"/>
          <w:u w:val="single"/>
        </w:rPr>
      </w:pPr>
      <w:r>
        <w:rPr>
          <w:rFonts w:hint="eastAsia"/>
          <w:color w:val="auto"/>
          <w:sz w:val="28"/>
          <w:szCs w:val="28"/>
          <w:highlight w:val="none"/>
        </w:rPr>
        <w:t>项</w:t>
      </w:r>
      <w:r>
        <w:rPr>
          <w:rFonts w:eastAsia="Times New Roman"/>
          <w:color w:val="auto"/>
          <w:sz w:val="28"/>
          <w:szCs w:val="28"/>
          <w:highlight w:val="none"/>
        </w:rPr>
        <w:t xml:space="preserve"> </w:t>
      </w:r>
      <w:r>
        <w:rPr>
          <w:rFonts w:hint="eastAsia"/>
          <w:color w:val="auto"/>
          <w:sz w:val="28"/>
          <w:szCs w:val="28"/>
          <w:highlight w:val="none"/>
        </w:rPr>
        <w:t>目</w:t>
      </w:r>
      <w:r>
        <w:rPr>
          <w:rFonts w:eastAsia="Times New Roman"/>
          <w:color w:val="auto"/>
          <w:sz w:val="28"/>
          <w:szCs w:val="28"/>
          <w:highlight w:val="none"/>
        </w:rPr>
        <w:t xml:space="preserve"> </w:t>
      </w:r>
      <w:r>
        <w:rPr>
          <w:rFonts w:hint="eastAsia"/>
          <w:color w:val="auto"/>
          <w:sz w:val="28"/>
          <w:szCs w:val="28"/>
          <w:highlight w:val="none"/>
        </w:rPr>
        <w:t>名</w:t>
      </w:r>
      <w:r>
        <w:rPr>
          <w:rFonts w:eastAsia="Times New Roman"/>
          <w:color w:val="auto"/>
          <w:sz w:val="28"/>
          <w:szCs w:val="28"/>
          <w:highlight w:val="none"/>
        </w:rPr>
        <w:t xml:space="preserve"> </w:t>
      </w:r>
      <w:r>
        <w:rPr>
          <w:rFonts w:hint="eastAsia"/>
          <w:color w:val="auto"/>
          <w:sz w:val="28"/>
          <w:szCs w:val="28"/>
          <w:highlight w:val="none"/>
        </w:rPr>
        <w:t>称：</w:t>
      </w:r>
      <w:r>
        <w:rPr>
          <w:rFonts w:eastAsia="Times New Roman"/>
          <w:color w:val="auto"/>
          <w:sz w:val="28"/>
          <w:szCs w:val="28"/>
          <w:highlight w:val="none"/>
          <w:u w:val="single"/>
        </w:rPr>
        <w:t xml:space="preserve">                           </w:t>
      </w:r>
    </w:p>
    <w:p>
      <w:pPr>
        <w:pStyle w:val="34"/>
        <w:rPr>
          <w:color w:val="auto"/>
          <w:highlight w:val="none"/>
        </w:rPr>
      </w:pPr>
    </w:p>
    <w:p>
      <w:pPr>
        <w:rPr>
          <w:rFonts w:eastAsia="Times New Roman"/>
          <w:color w:val="auto"/>
          <w:sz w:val="28"/>
          <w:szCs w:val="28"/>
          <w:highlight w:val="none"/>
          <w:u w:val="single"/>
        </w:rPr>
      </w:pPr>
      <w:r>
        <w:rPr>
          <w:rFonts w:eastAsia="Times New Roman"/>
          <w:color w:val="auto"/>
          <w:sz w:val="28"/>
          <w:szCs w:val="28"/>
          <w:highlight w:val="none"/>
        </w:rPr>
        <w:t xml:space="preserve">         </w:t>
      </w:r>
      <w:r>
        <w:rPr>
          <w:color w:val="auto"/>
          <w:sz w:val="28"/>
          <w:szCs w:val="28"/>
          <w:highlight w:val="none"/>
        </w:rPr>
        <w:t xml:space="preserve">  </w:t>
      </w:r>
      <w:r>
        <w:rPr>
          <w:rFonts w:hint="eastAsia"/>
          <w:color w:val="auto"/>
          <w:sz w:val="28"/>
          <w:szCs w:val="28"/>
          <w:highlight w:val="none"/>
        </w:rPr>
        <w:t>投</w:t>
      </w:r>
      <w:r>
        <w:rPr>
          <w:rFonts w:eastAsia="Times New Roman"/>
          <w:color w:val="auto"/>
          <w:sz w:val="28"/>
          <w:szCs w:val="28"/>
          <w:highlight w:val="none"/>
        </w:rPr>
        <w:t xml:space="preserve"> </w:t>
      </w:r>
      <w:r>
        <w:rPr>
          <w:rFonts w:hint="eastAsia"/>
          <w:color w:val="auto"/>
          <w:sz w:val="28"/>
          <w:szCs w:val="28"/>
          <w:highlight w:val="none"/>
        </w:rPr>
        <w:t>标</w:t>
      </w:r>
      <w:r>
        <w:rPr>
          <w:rFonts w:eastAsia="Times New Roman"/>
          <w:color w:val="auto"/>
          <w:sz w:val="28"/>
          <w:szCs w:val="28"/>
          <w:highlight w:val="none"/>
        </w:rPr>
        <w:t xml:space="preserve"> </w:t>
      </w:r>
      <w:r>
        <w:rPr>
          <w:rFonts w:hint="eastAsia"/>
          <w:color w:val="auto"/>
          <w:sz w:val="28"/>
          <w:szCs w:val="28"/>
          <w:highlight w:val="none"/>
        </w:rPr>
        <w:t>单</w:t>
      </w:r>
      <w:r>
        <w:rPr>
          <w:rFonts w:eastAsia="Times New Roman"/>
          <w:color w:val="auto"/>
          <w:sz w:val="28"/>
          <w:szCs w:val="28"/>
          <w:highlight w:val="none"/>
        </w:rPr>
        <w:t xml:space="preserve"> </w:t>
      </w:r>
      <w:r>
        <w:rPr>
          <w:rFonts w:hint="eastAsia"/>
          <w:color w:val="auto"/>
          <w:sz w:val="28"/>
          <w:szCs w:val="28"/>
          <w:highlight w:val="none"/>
        </w:rPr>
        <w:t>位：</w:t>
      </w:r>
      <w:r>
        <w:rPr>
          <w:rFonts w:eastAsia="Times New Roman"/>
          <w:color w:val="auto"/>
          <w:sz w:val="28"/>
          <w:szCs w:val="28"/>
          <w:highlight w:val="none"/>
          <w:u w:val="single"/>
        </w:rPr>
        <w:t xml:space="preserve">                      </w:t>
      </w:r>
      <w:r>
        <w:rPr>
          <w:rFonts w:hint="eastAsia"/>
          <w:color w:val="auto"/>
          <w:sz w:val="28"/>
          <w:szCs w:val="28"/>
          <w:highlight w:val="none"/>
          <w:u w:val="single"/>
        </w:rPr>
        <w:t>（盖章）</w:t>
      </w:r>
      <w:r>
        <w:rPr>
          <w:rFonts w:eastAsia="Times New Roman"/>
          <w:color w:val="auto"/>
          <w:sz w:val="28"/>
          <w:szCs w:val="28"/>
          <w:highlight w:val="none"/>
          <w:u w:val="single"/>
        </w:rPr>
        <w:t xml:space="preserve">   </w:t>
      </w:r>
    </w:p>
    <w:p>
      <w:pPr>
        <w:pStyle w:val="34"/>
        <w:rPr>
          <w:color w:val="auto"/>
          <w:highlight w:val="none"/>
        </w:rPr>
      </w:pPr>
    </w:p>
    <w:p>
      <w:pPr>
        <w:rPr>
          <w:rFonts w:hint="eastAsia"/>
          <w:color w:val="auto"/>
          <w:sz w:val="28"/>
          <w:szCs w:val="28"/>
          <w:highlight w:val="none"/>
          <w:u w:val="single"/>
        </w:rPr>
      </w:pPr>
      <w:r>
        <w:rPr>
          <w:rFonts w:eastAsia="Times New Roman"/>
          <w:color w:val="auto"/>
          <w:sz w:val="28"/>
          <w:szCs w:val="28"/>
          <w:highlight w:val="none"/>
        </w:rPr>
        <w:t xml:space="preserve">         </w:t>
      </w:r>
      <w:r>
        <w:rPr>
          <w:color w:val="auto"/>
          <w:sz w:val="28"/>
          <w:szCs w:val="28"/>
          <w:highlight w:val="none"/>
        </w:rPr>
        <w:t xml:space="preserve">  </w:t>
      </w:r>
      <w:r>
        <w:rPr>
          <w:rFonts w:hint="eastAsia"/>
          <w:color w:val="auto"/>
          <w:sz w:val="28"/>
          <w:szCs w:val="28"/>
          <w:highlight w:val="none"/>
        </w:rPr>
        <w:t>法定代表人（负责人）或其委托代理人：</w:t>
      </w:r>
      <w:r>
        <w:rPr>
          <w:rFonts w:eastAsia="Times New Roman"/>
          <w:color w:val="auto"/>
          <w:sz w:val="28"/>
          <w:szCs w:val="28"/>
          <w:highlight w:val="none"/>
          <w:u w:val="single"/>
        </w:rPr>
        <w:t xml:space="preserve">     </w:t>
      </w:r>
      <w:r>
        <w:rPr>
          <w:rFonts w:hint="eastAsia"/>
          <w:color w:val="auto"/>
          <w:sz w:val="28"/>
          <w:szCs w:val="28"/>
          <w:highlight w:val="none"/>
          <w:u w:val="single"/>
        </w:rPr>
        <w:t>（</w:t>
      </w:r>
      <w:r>
        <w:rPr>
          <w:rFonts w:eastAsia="Times New Roman"/>
          <w:color w:val="auto"/>
          <w:sz w:val="28"/>
          <w:szCs w:val="28"/>
          <w:highlight w:val="none"/>
          <w:u w:val="single"/>
        </w:rPr>
        <w:t xml:space="preserve"> </w:t>
      </w:r>
      <w:r>
        <w:rPr>
          <w:rFonts w:hint="eastAsia"/>
          <w:color w:val="auto"/>
          <w:sz w:val="28"/>
          <w:szCs w:val="28"/>
          <w:highlight w:val="none"/>
          <w:u w:val="single"/>
        </w:rPr>
        <w:t>签字或盖章）</w:t>
      </w:r>
    </w:p>
    <w:p>
      <w:pPr>
        <w:pStyle w:val="34"/>
        <w:rPr>
          <w:color w:val="auto"/>
          <w:highlight w:val="none"/>
        </w:rPr>
      </w:pPr>
    </w:p>
    <w:p>
      <w:pPr>
        <w:rPr>
          <w:rFonts w:eastAsia="Times New Roman"/>
          <w:color w:val="auto"/>
          <w:sz w:val="28"/>
          <w:szCs w:val="28"/>
          <w:highlight w:val="none"/>
        </w:rPr>
      </w:pPr>
      <w:r>
        <w:rPr>
          <w:rFonts w:eastAsia="Times New Roman"/>
          <w:color w:val="auto"/>
          <w:sz w:val="28"/>
          <w:szCs w:val="28"/>
          <w:highlight w:val="none"/>
        </w:rPr>
        <w:t xml:space="preserve">         </w:t>
      </w:r>
      <w:r>
        <w:rPr>
          <w:color w:val="auto"/>
          <w:sz w:val="28"/>
          <w:szCs w:val="28"/>
          <w:highlight w:val="none"/>
        </w:rPr>
        <w:t xml:space="preserve">  </w:t>
      </w:r>
      <w:r>
        <w:rPr>
          <w:rFonts w:hint="eastAsia"/>
          <w:color w:val="auto"/>
          <w:sz w:val="28"/>
          <w:szCs w:val="28"/>
          <w:highlight w:val="none"/>
        </w:rPr>
        <w:t>日</w:t>
      </w:r>
      <w:bookmarkStart w:id="30" w:name="_Toc274756332"/>
      <w:bookmarkStart w:id="31" w:name="_Toc264731469"/>
      <w:bookmarkStart w:id="32" w:name="_Toc265137408"/>
      <w:bookmarkStart w:id="33" w:name="_Toc265138140"/>
      <w:bookmarkStart w:id="34" w:name="_Toc264882251"/>
      <w:bookmarkStart w:id="35" w:name="_Toc265137628"/>
      <w:r>
        <w:rPr>
          <w:rFonts w:eastAsia="Times New Roman"/>
          <w:color w:val="auto"/>
          <w:sz w:val="28"/>
          <w:szCs w:val="28"/>
          <w:highlight w:val="none"/>
        </w:rPr>
        <w:t xml:space="preserve">   </w:t>
      </w:r>
      <w:r>
        <w:rPr>
          <w:rFonts w:hint="eastAsia"/>
          <w:color w:val="auto"/>
          <w:sz w:val="28"/>
          <w:szCs w:val="28"/>
          <w:highlight w:val="none"/>
        </w:rPr>
        <w:t>期</w:t>
      </w:r>
      <w:r>
        <w:rPr>
          <w:rFonts w:eastAsia="Times New Roman"/>
          <w:color w:val="auto"/>
          <w:sz w:val="28"/>
          <w:szCs w:val="28"/>
          <w:highlight w:val="none"/>
        </w:rPr>
        <w:t xml:space="preserve">  </w:t>
      </w:r>
      <w:r>
        <w:rPr>
          <w:rFonts w:hint="eastAsia"/>
          <w:color w:val="auto"/>
          <w:sz w:val="28"/>
          <w:szCs w:val="28"/>
          <w:highlight w:val="none"/>
        </w:rPr>
        <w:t>：</w:t>
      </w:r>
      <w:r>
        <w:rPr>
          <w:rFonts w:eastAsia="Times New Roman"/>
          <w:color w:val="auto"/>
          <w:sz w:val="28"/>
          <w:szCs w:val="28"/>
          <w:highlight w:val="none"/>
          <w:u w:val="single"/>
        </w:rPr>
        <w:t xml:space="preserve">         </w:t>
      </w:r>
      <w:r>
        <w:rPr>
          <w:rFonts w:hint="eastAsia"/>
          <w:color w:val="auto"/>
          <w:sz w:val="28"/>
          <w:szCs w:val="28"/>
          <w:highlight w:val="none"/>
        </w:rPr>
        <w:t>年</w:t>
      </w:r>
      <w:r>
        <w:rPr>
          <w:rFonts w:eastAsia="Times New Roman"/>
          <w:color w:val="auto"/>
          <w:sz w:val="28"/>
          <w:szCs w:val="28"/>
          <w:highlight w:val="none"/>
          <w:u w:val="single"/>
        </w:rPr>
        <w:t xml:space="preserve">   </w:t>
      </w:r>
      <w:bookmarkEnd w:id="30"/>
      <w:bookmarkEnd w:id="31"/>
      <w:bookmarkEnd w:id="32"/>
      <w:bookmarkEnd w:id="33"/>
      <w:bookmarkEnd w:id="34"/>
      <w:bookmarkEnd w:id="35"/>
      <w:r>
        <w:rPr>
          <w:rFonts w:eastAsia="Times New Roman"/>
          <w:color w:val="auto"/>
          <w:sz w:val="28"/>
          <w:szCs w:val="28"/>
          <w:highlight w:val="none"/>
          <w:u w:val="single"/>
        </w:rPr>
        <w:t xml:space="preserve">    </w:t>
      </w:r>
      <w:r>
        <w:rPr>
          <w:rFonts w:hint="eastAsia"/>
          <w:color w:val="auto"/>
          <w:sz w:val="28"/>
          <w:szCs w:val="28"/>
          <w:highlight w:val="none"/>
        </w:rPr>
        <w:t>月</w:t>
      </w:r>
      <w:r>
        <w:rPr>
          <w:rFonts w:eastAsia="Times New Roman"/>
          <w:color w:val="auto"/>
          <w:sz w:val="28"/>
          <w:szCs w:val="28"/>
          <w:highlight w:val="none"/>
          <w:u w:val="single"/>
        </w:rPr>
        <w:t xml:space="preserve">       </w:t>
      </w:r>
      <w:r>
        <w:rPr>
          <w:rFonts w:hint="eastAsia"/>
          <w:color w:val="auto"/>
          <w:sz w:val="28"/>
          <w:szCs w:val="28"/>
          <w:highlight w:val="none"/>
        </w:rPr>
        <w:t>日</w:t>
      </w:r>
    </w:p>
    <w:p>
      <w:pPr>
        <w:spacing w:line="320" w:lineRule="exact"/>
        <w:rPr>
          <w:b/>
          <w:color w:val="auto"/>
          <w:szCs w:val="21"/>
          <w:highlight w:val="none"/>
        </w:rPr>
      </w:pPr>
    </w:p>
    <w:p>
      <w:pPr>
        <w:spacing w:line="320" w:lineRule="exact"/>
        <w:rPr>
          <w:b/>
          <w:color w:val="auto"/>
          <w:szCs w:val="21"/>
          <w:highlight w:val="none"/>
        </w:rPr>
      </w:pPr>
    </w:p>
    <w:p>
      <w:pPr>
        <w:spacing w:line="320" w:lineRule="exact"/>
        <w:rPr>
          <w:b/>
          <w:color w:val="auto"/>
          <w:szCs w:val="21"/>
          <w:highlight w:val="none"/>
        </w:rPr>
      </w:pPr>
    </w:p>
    <w:p>
      <w:pPr>
        <w:spacing w:line="320" w:lineRule="exact"/>
        <w:rPr>
          <w:b/>
          <w:color w:val="auto"/>
          <w:szCs w:val="21"/>
          <w:highlight w:val="none"/>
        </w:rPr>
      </w:pPr>
    </w:p>
    <w:p>
      <w:pPr>
        <w:spacing w:line="320" w:lineRule="exact"/>
        <w:rPr>
          <w:b/>
          <w:color w:val="auto"/>
          <w:szCs w:val="21"/>
          <w:highlight w:val="none"/>
        </w:rPr>
      </w:pPr>
    </w:p>
    <w:p>
      <w:pPr>
        <w:spacing w:line="320" w:lineRule="exact"/>
        <w:rPr>
          <w:b/>
          <w:color w:val="auto"/>
          <w:szCs w:val="21"/>
          <w:highlight w:val="none"/>
        </w:rPr>
      </w:pPr>
    </w:p>
    <w:p>
      <w:pPr>
        <w:spacing w:line="320" w:lineRule="exact"/>
        <w:rPr>
          <w:b/>
          <w:color w:val="auto"/>
          <w:szCs w:val="21"/>
          <w:highlight w:val="none"/>
        </w:rPr>
      </w:pPr>
    </w:p>
    <w:p>
      <w:pPr>
        <w:spacing w:line="320" w:lineRule="exact"/>
        <w:rPr>
          <w:b/>
          <w:color w:val="auto"/>
          <w:szCs w:val="21"/>
          <w:highlight w:val="none"/>
        </w:rPr>
      </w:pPr>
    </w:p>
    <w:p>
      <w:pPr>
        <w:rPr>
          <w:rFonts w:hint="eastAsia" w:ascii="宋体" w:hAnsi="宋体" w:cs="宋体"/>
          <w:b/>
          <w:bCs/>
          <w:color w:val="auto"/>
          <w:sz w:val="32"/>
          <w:szCs w:val="32"/>
          <w:highlight w:val="none"/>
        </w:rPr>
        <w:sectPr>
          <w:footerReference r:id="rId14" w:type="default"/>
          <w:pgSz w:w="11906" w:h="16838"/>
          <w:pgMar w:top="1418" w:right="1418" w:bottom="1418" w:left="1418" w:header="851" w:footer="992" w:gutter="0"/>
          <w:pgNumType w:fmt="decimal"/>
          <w:cols w:space="720" w:num="1"/>
          <w:docGrid w:type="lines" w:linePitch="312" w:charSpace="0"/>
        </w:sectPr>
      </w:pPr>
      <w:bookmarkStart w:id="36" w:name="_Toc12275"/>
    </w:p>
    <w:p>
      <w:pPr>
        <w:pStyle w:val="14"/>
        <w:ind w:firstLine="241"/>
        <w:rPr>
          <w:rFonts w:hint="eastAsia"/>
          <w:color w:val="auto"/>
          <w:highlight w:val="none"/>
        </w:rPr>
      </w:pPr>
    </w:p>
    <w:p>
      <w:pPr>
        <w:pStyle w:val="14"/>
        <w:ind w:firstLine="321"/>
        <w:rPr>
          <w:rFonts w:hint="eastAsia" w:cs="宋体"/>
          <w:color w:val="auto"/>
          <w:sz w:val="32"/>
          <w:szCs w:val="32"/>
          <w:highlight w:val="none"/>
        </w:rPr>
      </w:pPr>
    </w:p>
    <w:p>
      <w:pPr>
        <w:rPr>
          <w:rFonts w:hint="eastAsia" w:ascii="宋体" w:hAnsi="宋体" w:cs="宋体"/>
          <w:b/>
          <w:bCs/>
          <w:color w:val="auto"/>
          <w:sz w:val="32"/>
          <w:szCs w:val="32"/>
          <w:highlight w:val="none"/>
        </w:rPr>
      </w:pPr>
    </w:p>
    <w:p>
      <w:pPr>
        <w:pStyle w:val="14"/>
        <w:ind w:firstLine="321"/>
        <w:rPr>
          <w:rFonts w:hint="eastAsia" w:cs="宋体"/>
          <w:color w:val="auto"/>
          <w:sz w:val="32"/>
          <w:szCs w:val="32"/>
          <w:highlight w:val="none"/>
        </w:rPr>
      </w:pPr>
    </w:p>
    <w:p>
      <w:pPr>
        <w:rPr>
          <w:rFonts w:hint="eastAsia" w:ascii="宋体" w:hAnsi="宋体" w:cs="宋体"/>
          <w:b/>
          <w:bCs/>
          <w:color w:val="auto"/>
          <w:sz w:val="32"/>
          <w:szCs w:val="32"/>
          <w:highlight w:val="none"/>
        </w:rPr>
      </w:pPr>
    </w:p>
    <w:p>
      <w:pPr>
        <w:pStyle w:val="14"/>
        <w:ind w:firstLine="0" w:firstLineChars="0"/>
        <w:rPr>
          <w:rFonts w:hint="eastAsia"/>
          <w:color w:val="auto"/>
          <w:highlight w:val="none"/>
        </w:rPr>
      </w:pPr>
    </w:p>
    <w:p>
      <w:pPr>
        <w:rPr>
          <w:rFonts w:hint="eastAsia"/>
          <w:color w:val="auto"/>
          <w:highlight w:val="none"/>
        </w:rPr>
      </w:pPr>
    </w:p>
    <w:p>
      <w:pPr>
        <w:numPr>
          <w:ilvl w:val="0"/>
          <w:numId w:val="2"/>
        </w:numPr>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商务文件格式</w:t>
      </w:r>
    </w:p>
    <w:p>
      <w:pPr>
        <w:pStyle w:val="34"/>
        <w:rPr>
          <w:rFonts w:hint="eastAsia"/>
          <w:color w:val="auto"/>
          <w:highlight w:val="none"/>
        </w:rPr>
      </w:pPr>
    </w:p>
    <w:p>
      <w:pPr>
        <w:pStyle w:val="34"/>
        <w:rPr>
          <w:rFonts w:hint="eastAsia"/>
          <w:color w:val="auto"/>
          <w:highlight w:val="none"/>
        </w:rPr>
      </w:pPr>
    </w:p>
    <w:p>
      <w:pPr>
        <w:pStyle w:val="34"/>
        <w:rPr>
          <w:rFonts w:hint="eastAsia"/>
          <w:color w:val="auto"/>
          <w:highlight w:val="none"/>
        </w:rPr>
      </w:pPr>
    </w:p>
    <w:p>
      <w:pPr>
        <w:pStyle w:val="34"/>
        <w:rPr>
          <w:rFonts w:hint="eastAsia"/>
          <w:color w:val="auto"/>
          <w:highlight w:val="none"/>
        </w:rPr>
      </w:pPr>
    </w:p>
    <w:p>
      <w:pPr>
        <w:pStyle w:val="34"/>
        <w:rPr>
          <w:rFonts w:hint="eastAsia"/>
          <w:color w:val="auto"/>
          <w:highlight w:val="none"/>
        </w:rPr>
      </w:pPr>
    </w:p>
    <w:p>
      <w:pPr>
        <w:pStyle w:val="34"/>
        <w:rPr>
          <w:rFonts w:hint="eastAsia"/>
          <w:color w:val="auto"/>
          <w:highlight w:val="none"/>
        </w:rPr>
      </w:pPr>
    </w:p>
    <w:p>
      <w:pPr>
        <w:pStyle w:val="34"/>
        <w:rPr>
          <w:rFonts w:hint="eastAsia"/>
          <w:color w:val="auto"/>
          <w:highlight w:val="none"/>
        </w:rPr>
      </w:pPr>
    </w:p>
    <w:p>
      <w:pPr>
        <w:pStyle w:val="34"/>
        <w:rPr>
          <w:rFonts w:hint="eastAsia"/>
          <w:color w:val="auto"/>
          <w:highlight w:val="none"/>
        </w:rPr>
      </w:pPr>
    </w:p>
    <w:p>
      <w:pPr>
        <w:pStyle w:val="34"/>
        <w:rPr>
          <w:rFonts w:hint="eastAsia"/>
          <w:color w:val="auto"/>
          <w:highlight w:val="none"/>
        </w:rPr>
      </w:pPr>
    </w:p>
    <w:p>
      <w:pPr>
        <w:pStyle w:val="34"/>
        <w:rPr>
          <w:rFonts w:hint="eastAsia"/>
          <w:color w:val="auto"/>
          <w:highlight w:val="none"/>
        </w:rPr>
        <w:sectPr>
          <w:footerReference r:id="rId15" w:type="default"/>
          <w:pgSz w:w="11906" w:h="16838"/>
          <w:pgMar w:top="1418" w:right="1418" w:bottom="1418" w:left="1418" w:header="851" w:footer="992" w:gutter="0"/>
          <w:pgNumType w:fmt="decimal"/>
          <w:cols w:space="720" w:num="1"/>
          <w:docGrid w:type="lines" w:linePitch="312" w:charSpace="0"/>
        </w:sectPr>
      </w:pPr>
    </w:p>
    <w:p>
      <w:pPr>
        <w:outlineLvl w:val="0"/>
        <w:rPr>
          <w:rFonts w:hint="eastAsia" w:cs="Angsana New"/>
          <w:b/>
          <w:color w:val="auto"/>
          <w:kern w:val="0"/>
          <w:sz w:val="30"/>
          <w:szCs w:val="30"/>
          <w:highlight w:val="none"/>
          <w:lang w:bidi="ar"/>
        </w:rPr>
      </w:pPr>
      <w:bookmarkStart w:id="37" w:name="_Toc1942"/>
      <w:r>
        <w:rPr>
          <w:rFonts w:hint="eastAsia" w:cs="Angsana New"/>
          <w:b/>
          <w:color w:val="auto"/>
          <w:kern w:val="0"/>
          <w:sz w:val="30"/>
          <w:szCs w:val="30"/>
          <w:highlight w:val="none"/>
          <w:lang w:bidi="ar"/>
        </w:rPr>
        <w:t>附件1</w:t>
      </w:r>
      <w:bookmarkEnd w:id="36"/>
      <w:bookmarkEnd w:id="37"/>
      <w:r>
        <w:rPr>
          <w:rFonts w:hint="eastAsia" w:cs="Angsana New"/>
          <w:b/>
          <w:color w:val="auto"/>
          <w:kern w:val="0"/>
          <w:sz w:val="30"/>
          <w:szCs w:val="30"/>
          <w:highlight w:val="none"/>
          <w:lang w:bidi="ar"/>
        </w:rPr>
        <w:t xml:space="preserve"> </w:t>
      </w:r>
    </w:p>
    <w:p>
      <w:pPr>
        <w:jc w:val="center"/>
        <w:rPr>
          <w:rFonts w:ascii="华文中宋" w:hAnsi="华文中宋" w:eastAsia="华文中宋" w:cs="华文中宋"/>
          <w:b/>
          <w:color w:val="auto"/>
          <w:sz w:val="44"/>
          <w:szCs w:val="44"/>
          <w:highlight w:val="none"/>
        </w:rPr>
      </w:pPr>
      <w:r>
        <w:rPr>
          <w:rFonts w:hint="eastAsia" w:ascii="华文中宋" w:hAnsi="华文中宋" w:eastAsia="华文中宋" w:cs="华文中宋"/>
          <w:b/>
          <w:color w:val="auto"/>
          <w:sz w:val="44"/>
          <w:szCs w:val="44"/>
          <w:highlight w:val="none"/>
        </w:rPr>
        <w:t>磋商</w:t>
      </w:r>
      <w:r>
        <w:rPr>
          <w:rFonts w:ascii="华文中宋" w:hAnsi="华文中宋" w:eastAsia="华文中宋" w:cs="华文中宋"/>
          <w:b/>
          <w:color w:val="auto"/>
          <w:sz w:val="44"/>
          <w:szCs w:val="44"/>
          <w:highlight w:val="none"/>
        </w:rPr>
        <w:t>函格式</w:t>
      </w:r>
    </w:p>
    <w:p>
      <w:pPr>
        <w:pStyle w:val="34"/>
        <w:rPr>
          <w:rFonts w:hint="eastAsia"/>
          <w:color w:val="auto"/>
          <w:highlight w:val="none"/>
        </w:rPr>
      </w:pPr>
    </w:p>
    <w:p>
      <w:pPr>
        <w:pStyle w:val="10"/>
        <w:spacing w:line="600" w:lineRule="exact"/>
        <w:rPr>
          <w:rFonts w:ascii="Times New Roman" w:hAnsi="Times New Roman" w:eastAsia="仿宋_GB2312"/>
          <w:color w:val="auto"/>
          <w:sz w:val="28"/>
          <w:szCs w:val="28"/>
          <w:highlight w:val="none"/>
        </w:rPr>
      </w:pPr>
      <w:r>
        <w:rPr>
          <w:rFonts w:hint="eastAsia" w:ascii="Times New Roman" w:hAnsi="Times New Roman" w:eastAsia="仿宋_GB2312"/>
          <w:color w:val="auto"/>
          <w:sz w:val="28"/>
          <w:szCs w:val="28"/>
          <w:highlight w:val="none"/>
          <w:u w:val="single"/>
        </w:rPr>
        <w:t>广西会展时空信息科技有限公司</w:t>
      </w:r>
      <w:r>
        <w:rPr>
          <w:rFonts w:ascii="Times New Roman" w:hAnsi="Times New Roman" w:eastAsia="仿宋_GB2312"/>
          <w:color w:val="auto"/>
          <w:sz w:val="28"/>
          <w:szCs w:val="28"/>
          <w:highlight w:val="none"/>
        </w:rPr>
        <w:t>：</w:t>
      </w:r>
    </w:p>
    <w:p>
      <w:pPr>
        <w:pStyle w:val="10"/>
        <w:spacing w:line="600" w:lineRule="exact"/>
        <w:rPr>
          <w:rFonts w:ascii="Times New Roman" w:hAnsi="Times New Roman" w:eastAsia="仿宋_GB2312"/>
          <w:color w:val="auto"/>
          <w:sz w:val="28"/>
          <w:szCs w:val="28"/>
          <w:highlight w:val="none"/>
        </w:rPr>
      </w:pPr>
    </w:p>
    <w:p>
      <w:pPr>
        <w:pStyle w:val="10"/>
        <w:spacing w:line="600" w:lineRule="exact"/>
        <w:ind w:firstLine="48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依据贵方</w:t>
      </w:r>
      <w:r>
        <w:rPr>
          <w:rFonts w:ascii="Times New Roman" w:hAnsi="Times New Roman" w:eastAsia="仿宋_GB2312"/>
          <w:color w:val="auto"/>
          <w:sz w:val="28"/>
          <w:szCs w:val="28"/>
          <w:highlight w:val="none"/>
          <w:u w:val="single"/>
        </w:rPr>
        <w:t xml:space="preserve">             </w:t>
      </w:r>
      <w:r>
        <w:rPr>
          <w:rFonts w:hint="eastAsia" w:ascii="Times New Roman" w:hAnsi="Times New Roman" w:eastAsia="仿宋_GB2312"/>
          <w:color w:val="auto"/>
          <w:sz w:val="28"/>
          <w:szCs w:val="28"/>
          <w:highlight w:val="none"/>
          <w:u w:val="single"/>
        </w:rPr>
        <w:t>项目</w:t>
      </w:r>
      <w:r>
        <w:rPr>
          <w:rFonts w:ascii="Times New Roman" w:hAnsi="Times New Roman" w:eastAsia="仿宋_GB2312"/>
          <w:color w:val="auto"/>
          <w:sz w:val="28"/>
          <w:szCs w:val="28"/>
          <w:highlight w:val="none"/>
        </w:rPr>
        <w:t>的磋商邀请，我方</w:t>
      </w:r>
      <w:r>
        <w:rPr>
          <w:rFonts w:ascii="Times New Roman" w:hAnsi="Times New Roman" w:eastAsia="仿宋_GB2312"/>
          <w:color w:val="auto"/>
          <w:sz w:val="28"/>
          <w:szCs w:val="28"/>
          <w:highlight w:val="none"/>
          <w:u w:val="single"/>
        </w:rPr>
        <w:t>（姓名和职务）</w:t>
      </w:r>
      <w:r>
        <w:rPr>
          <w:rFonts w:ascii="Times New Roman" w:hAnsi="Times New Roman" w:eastAsia="仿宋_GB2312"/>
          <w:color w:val="auto"/>
          <w:sz w:val="28"/>
          <w:szCs w:val="28"/>
          <w:highlight w:val="none"/>
        </w:rPr>
        <w:t>经正式授权并代表磋商供应商</w:t>
      </w:r>
      <w:r>
        <w:rPr>
          <w:rFonts w:ascii="Times New Roman" w:hAnsi="Times New Roman" w:eastAsia="仿宋_GB2312"/>
          <w:color w:val="auto"/>
          <w:sz w:val="28"/>
          <w:szCs w:val="28"/>
          <w:highlight w:val="none"/>
          <w:u w:val="single"/>
        </w:rPr>
        <w:t>（磋商供应商名称、地址）</w:t>
      </w:r>
      <w:r>
        <w:rPr>
          <w:rFonts w:ascii="Times New Roman" w:hAnsi="Times New Roman" w:eastAsia="仿宋_GB2312"/>
          <w:color w:val="auto"/>
          <w:sz w:val="28"/>
          <w:szCs w:val="28"/>
          <w:highlight w:val="none"/>
        </w:rPr>
        <w:t>提交下述竞争性磋商响应文件正本1份；副本2份。</w:t>
      </w:r>
    </w:p>
    <w:p>
      <w:pPr>
        <w:pStyle w:val="10"/>
        <w:spacing w:line="600" w:lineRule="exact"/>
        <w:ind w:firstLine="48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竞争性磋商响应文件</w:t>
      </w:r>
      <w:r>
        <w:rPr>
          <w:rFonts w:hint="eastAsia" w:ascii="Times New Roman" w:hAnsi="Times New Roman" w:eastAsia="仿宋_GB2312"/>
          <w:color w:val="auto"/>
          <w:sz w:val="28"/>
          <w:szCs w:val="28"/>
          <w:highlight w:val="none"/>
        </w:rPr>
        <w:t>包含：</w:t>
      </w:r>
    </w:p>
    <w:p>
      <w:pPr>
        <w:pStyle w:val="10"/>
        <w:spacing w:line="600" w:lineRule="exact"/>
        <w:ind w:firstLine="48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 xml:space="preserve">1. </w:t>
      </w:r>
      <w:r>
        <w:rPr>
          <w:rFonts w:hint="eastAsia" w:ascii="Times New Roman" w:hAnsi="Times New Roman" w:eastAsia="仿宋_GB2312"/>
          <w:color w:val="auto"/>
          <w:sz w:val="28"/>
          <w:szCs w:val="28"/>
          <w:highlight w:val="none"/>
        </w:rPr>
        <w:t>商务文件及</w:t>
      </w:r>
      <w:r>
        <w:rPr>
          <w:rFonts w:ascii="Times New Roman" w:hAnsi="Times New Roman" w:eastAsia="仿宋_GB2312"/>
          <w:color w:val="auto"/>
          <w:sz w:val="28"/>
          <w:szCs w:val="28"/>
          <w:highlight w:val="none"/>
        </w:rPr>
        <w:t>资格证明文件；</w:t>
      </w:r>
    </w:p>
    <w:p>
      <w:pPr>
        <w:pStyle w:val="10"/>
        <w:spacing w:line="600" w:lineRule="exact"/>
        <w:ind w:firstLine="480"/>
        <w:rPr>
          <w:rFonts w:hint="eastAsia"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 xml:space="preserve">2. </w:t>
      </w:r>
      <w:r>
        <w:rPr>
          <w:rFonts w:hint="eastAsia" w:ascii="Times New Roman" w:hAnsi="Times New Roman" w:eastAsia="仿宋_GB2312"/>
          <w:color w:val="auto"/>
          <w:sz w:val="28"/>
          <w:szCs w:val="28"/>
          <w:highlight w:val="none"/>
        </w:rPr>
        <w:t>技术文件；</w:t>
      </w:r>
    </w:p>
    <w:p>
      <w:pPr>
        <w:pStyle w:val="10"/>
        <w:spacing w:line="600" w:lineRule="exact"/>
        <w:ind w:firstLine="700" w:firstLineChars="25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在此，授权代表宣布同意如下：</w:t>
      </w:r>
    </w:p>
    <w:p>
      <w:pPr>
        <w:pStyle w:val="10"/>
        <w:spacing w:line="600" w:lineRule="exact"/>
        <w:ind w:firstLine="48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1. 将按竞争性磋商文件的约定履行合同责任和义务；</w:t>
      </w:r>
    </w:p>
    <w:p>
      <w:pPr>
        <w:pStyle w:val="10"/>
        <w:spacing w:line="600" w:lineRule="exact"/>
        <w:ind w:left="840" w:hanging="360"/>
        <w:jc w:val="left"/>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2. 已详细审查全部竞争性磋商文件；我们完全理解并同意放弃对这方面有不明及误解的权力；</w:t>
      </w:r>
    </w:p>
    <w:p>
      <w:pPr>
        <w:pStyle w:val="10"/>
        <w:spacing w:line="600" w:lineRule="exact"/>
        <w:ind w:left="840" w:hanging="36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3. 同意提供按照贵方可能要求的与本次项目磋商有关的一切数据或资料；</w:t>
      </w:r>
    </w:p>
    <w:p>
      <w:pPr>
        <w:pStyle w:val="10"/>
        <w:spacing w:line="600" w:lineRule="exact"/>
        <w:ind w:firstLine="480"/>
        <w:rPr>
          <w:rFonts w:ascii="Times New Roman" w:hAnsi="Times New Roman" w:eastAsia="仿宋_GB2312"/>
          <w:color w:val="auto"/>
          <w:sz w:val="28"/>
          <w:szCs w:val="28"/>
          <w:highlight w:val="none"/>
          <w:u w:val="single"/>
        </w:rPr>
      </w:pPr>
      <w:r>
        <w:rPr>
          <w:rFonts w:ascii="Times New Roman" w:hAnsi="Times New Roman" w:eastAsia="仿宋_GB2312"/>
          <w:color w:val="auto"/>
          <w:sz w:val="28"/>
          <w:szCs w:val="28"/>
          <w:highlight w:val="none"/>
        </w:rPr>
        <w:t>4. 与本磋商有关的一切正式往来信函请寄：</w:t>
      </w:r>
      <w:r>
        <w:rPr>
          <w:rFonts w:ascii="Times New Roman" w:hAnsi="Times New Roman" w:eastAsia="仿宋_GB2312"/>
          <w:color w:val="auto"/>
          <w:sz w:val="28"/>
          <w:szCs w:val="28"/>
          <w:highlight w:val="none"/>
          <w:u w:val="single"/>
        </w:rPr>
        <w:t xml:space="preserve">                       </w:t>
      </w:r>
    </w:p>
    <w:p>
      <w:pPr>
        <w:pStyle w:val="10"/>
        <w:spacing w:line="600" w:lineRule="exact"/>
        <w:ind w:firstLine="84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电话/传真：</w:t>
      </w:r>
      <w:r>
        <w:rPr>
          <w:rFonts w:ascii="Times New Roman" w:hAnsi="Times New Roman" w:eastAsia="仿宋_GB2312"/>
          <w:color w:val="auto"/>
          <w:sz w:val="28"/>
          <w:szCs w:val="28"/>
          <w:highlight w:val="none"/>
          <w:u w:val="single"/>
        </w:rPr>
        <w:t xml:space="preserve">                        </w:t>
      </w:r>
      <w:r>
        <w:rPr>
          <w:rFonts w:ascii="Times New Roman" w:hAnsi="Times New Roman" w:eastAsia="仿宋_GB2312"/>
          <w:color w:val="auto"/>
          <w:sz w:val="28"/>
          <w:szCs w:val="28"/>
          <w:highlight w:val="none"/>
        </w:rPr>
        <w:t xml:space="preserve"> 电子函件：</w:t>
      </w:r>
      <w:r>
        <w:rPr>
          <w:rFonts w:ascii="Times New Roman" w:hAnsi="Times New Roman" w:eastAsia="仿宋_GB2312"/>
          <w:color w:val="auto"/>
          <w:sz w:val="28"/>
          <w:szCs w:val="28"/>
          <w:highlight w:val="none"/>
          <w:u w:val="single"/>
        </w:rPr>
        <w:t xml:space="preserve">             </w:t>
      </w:r>
      <w:r>
        <w:rPr>
          <w:rFonts w:ascii="Times New Roman" w:hAnsi="Times New Roman" w:eastAsia="仿宋_GB2312"/>
          <w:color w:val="auto"/>
          <w:sz w:val="28"/>
          <w:szCs w:val="28"/>
          <w:highlight w:val="none"/>
        </w:rPr>
        <w:t xml:space="preserve">              </w:t>
      </w:r>
    </w:p>
    <w:p>
      <w:pPr>
        <w:pStyle w:val="10"/>
        <w:spacing w:line="600" w:lineRule="exact"/>
        <w:ind w:firstLine="84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日期：</w:t>
      </w:r>
      <w:r>
        <w:rPr>
          <w:rFonts w:ascii="Times New Roman" w:hAnsi="Times New Roman" w:eastAsia="仿宋_GB2312"/>
          <w:color w:val="auto"/>
          <w:sz w:val="28"/>
          <w:szCs w:val="28"/>
          <w:highlight w:val="none"/>
          <w:u w:val="single"/>
        </w:rPr>
        <w:t xml:space="preserve">      </w:t>
      </w:r>
      <w:r>
        <w:rPr>
          <w:rFonts w:ascii="Times New Roman" w:hAnsi="Times New Roman" w:eastAsia="仿宋_GB2312"/>
          <w:color w:val="auto"/>
          <w:sz w:val="28"/>
          <w:szCs w:val="28"/>
          <w:highlight w:val="none"/>
        </w:rPr>
        <w:t>年</w:t>
      </w:r>
      <w:r>
        <w:rPr>
          <w:rFonts w:ascii="Times New Roman" w:hAnsi="Times New Roman" w:eastAsia="仿宋_GB2312"/>
          <w:color w:val="auto"/>
          <w:sz w:val="28"/>
          <w:szCs w:val="28"/>
          <w:highlight w:val="none"/>
          <w:u w:val="single"/>
        </w:rPr>
        <w:t xml:space="preserve">   </w:t>
      </w:r>
      <w:r>
        <w:rPr>
          <w:rFonts w:ascii="Times New Roman" w:hAnsi="Times New Roman" w:eastAsia="仿宋_GB2312"/>
          <w:color w:val="auto"/>
          <w:sz w:val="28"/>
          <w:szCs w:val="28"/>
          <w:highlight w:val="none"/>
        </w:rPr>
        <w:t>月</w:t>
      </w:r>
      <w:r>
        <w:rPr>
          <w:rFonts w:ascii="Times New Roman" w:hAnsi="Times New Roman" w:eastAsia="仿宋_GB2312"/>
          <w:color w:val="auto"/>
          <w:sz w:val="28"/>
          <w:szCs w:val="28"/>
          <w:highlight w:val="none"/>
          <w:u w:val="single"/>
        </w:rPr>
        <w:t xml:space="preserve">    </w:t>
      </w:r>
      <w:r>
        <w:rPr>
          <w:rFonts w:ascii="Times New Roman" w:hAnsi="Times New Roman" w:eastAsia="仿宋_GB2312"/>
          <w:color w:val="auto"/>
          <w:sz w:val="28"/>
          <w:szCs w:val="28"/>
          <w:highlight w:val="none"/>
        </w:rPr>
        <w:t>日</w:t>
      </w:r>
    </w:p>
    <w:p>
      <w:pPr>
        <w:pStyle w:val="10"/>
        <w:spacing w:line="600" w:lineRule="exact"/>
        <w:ind w:firstLine="840"/>
        <w:rPr>
          <w:rFonts w:ascii="Times New Roman" w:hAnsi="Times New Roman" w:eastAsia="仿宋_GB2312"/>
          <w:color w:val="auto"/>
          <w:sz w:val="28"/>
          <w:szCs w:val="28"/>
          <w:highlight w:val="none"/>
        </w:rPr>
      </w:pPr>
    </w:p>
    <w:p>
      <w:pPr>
        <w:pStyle w:val="10"/>
        <w:spacing w:line="600" w:lineRule="exact"/>
        <w:ind w:firstLine="840"/>
        <w:rPr>
          <w:rFonts w:ascii="Times New Roman" w:hAnsi="Times New Roman" w:eastAsia="仿宋_GB2312"/>
          <w:color w:val="auto"/>
          <w:sz w:val="28"/>
          <w:szCs w:val="28"/>
          <w:highlight w:val="none"/>
        </w:rPr>
      </w:pPr>
    </w:p>
    <w:p>
      <w:pPr>
        <w:pStyle w:val="10"/>
        <w:spacing w:line="600" w:lineRule="exact"/>
        <w:ind w:firstLine="840"/>
        <w:rPr>
          <w:rFonts w:ascii="Times New Roman" w:hAnsi="Times New Roman" w:eastAsia="仿宋_GB2312"/>
          <w:color w:val="auto"/>
          <w:sz w:val="28"/>
          <w:szCs w:val="28"/>
          <w:highlight w:val="none"/>
          <w:u w:val="single"/>
        </w:rPr>
      </w:pPr>
      <w:r>
        <w:rPr>
          <w:rFonts w:ascii="Times New Roman" w:hAnsi="Times New Roman" w:eastAsia="仿宋_GB2312"/>
          <w:color w:val="auto"/>
          <w:sz w:val="28"/>
          <w:szCs w:val="28"/>
          <w:highlight w:val="none"/>
        </w:rPr>
        <w:t>法定代表人</w:t>
      </w:r>
      <w:r>
        <w:rPr>
          <w:rFonts w:hint="eastAsia" w:ascii="Times New Roman" w:hAnsi="Times New Roman" w:eastAsia="仿宋_GB2312"/>
          <w:color w:val="auto"/>
          <w:sz w:val="28"/>
          <w:szCs w:val="28"/>
          <w:highlight w:val="none"/>
        </w:rPr>
        <w:t>（负责人）或</w:t>
      </w:r>
      <w:r>
        <w:rPr>
          <w:rFonts w:ascii="Times New Roman" w:hAnsi="Times New Roman" w:eastAsia="仿宋_GB2312"/>
          <w:color w:val="auto"/>
          <w:sz w:val="28"/>
          <w:szCs w:val="28"/>
          <w:highlight w:val="none"/>
        </w:rPr>
        <w:t>授权代表签字：</w:t>
      </w:r>
      <w:r>
        <w:rPr>
          <w:rFonts w:ascii="Times New Roman" w:hAnsi="Times New Roman" w:eastAsia="仿宋_GB2312"/>
          <w:color w:val="auto"/>
          <w:sz w:val="28"/>
          <w:szCs w:val="28"/>
          <w:highlight w:val="none"/>
          <w:u w:val="single"/>
        </w:rPr>
        <w:t xml:space="preserve">                       </w:t>
      </w:r>
    </w:p>
    <w:p>
      <w:pPr>
        <w:pStyle w:val="10"/>
        <w:spacing w:line="600" w:lineRule="exact"/>
        <w:ind w:firstLine="84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磋商供应商名称（签章）：</w:t>
      </w:r>
      <w:r>
        <w:rPr>
          <w:rFonts w:ascii="Times New Roman" w:hAnsi="Times New Roman" w:eastAsia="仿宋_GB2312"/>
          <w:color w:val="auto"/>
          <w:sz w:val="28"/>
          <w:szCs w:val="28"/>
          <w:highlight w:val="none"/>
          <w:u w:val="single"/>
        </w:rPr>
        <w:t xml:space="preserve">                                    </w:t>
      </w:r>
      <w:r>
        <w:rPr>
          <w:rFonts w:ascii="Times New Roman" w:hAnsi="Times New Roman" w:eastAsia="仿宋_GB2312"/>
          <w:color w:val="auto"/>
          <w:sz w:val="28"/>
          <w:szCs w:val="28"/>
          <w:highlight w:val="none"/>
        </w:rPr>
        <w:t xml:space="preserve">                           </w:t>
      </w:r>
    </w:p>
    <w:p>
      <w:pPr>
        <w:pStyle w:val="10"/>
        <w:spacing w:line="600" w:lineRule="exact"/>
        <w:ind w:firstLine="84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开户银行：</w:t>
      </w:r>
      <w:r>
        <w:rPr>
          <w:rFonts w:ascii="Times New Roman" w:hAnsi="Times New Roman" w:eastAsia="仿宋_GB2312"/>
          <w:color w:val="auto"/>
          <w:sz w:val="28"/>
          <w:szCs w:val="28"/>
          <w:highlight w:val="none"/>
          <w:u w:val="single"/>
        </w:rPr>
        <w:t xml:space="preserve">                         </w:t>
      </w:r>
      <w:r>
        <w:rPr>
          <w:rFonts w:ascii="Times New Roman" w:hAnsi="Times New Roman" w:eastAsia="仿宋_GB2312"/>
          <w:color w:val="auto"/>
          <w:sz w:val="28"/>
          <w:szCs w:val="28"/>
          <w:highlight w:val="none"/>
        </w:rPr>
        <w:t xml:space="preserve"> </w:t>
      </w:r>
    </w:p>
    <w:p>
      <w:pPr>
        <w:pStyle w:val="10"/>
        <w:spacing w:line="440" w:lineRule="exact"/>
        <w:ind w:firstLine="84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帐号/行号：</w:t>
      </w:r>
      <w:r>
        <w:rPr>
          <w:rFonts w:ascii="Times New Roman" w:hAnsi="Times New Roman" w:eastAsia="仿宋_GB2312"/>
          <w:color w:val="auto"/>
          <w:sz w:val="28"/>
          <w:szCs w:val="28"/>
          <w:highlight w:val="none"/>
          <w:u w:val="single"/>
        </w:rPr>
        <w:t xml:space="preserve">                       </w:t>
      </w:r>
      <w:r>
        <w:rPr>
          <w:rFonts w:ascii="Times New Roman" w:hAnsi="Times New Roman" w:eastAsia="仿宋_GB2312"/>
          <w:color w:val="auto"/>
          <w:sz w:val="28"/>
          <w:szCs w:val="28"/>
          <w:highlight w:val="none"/>
        </w:rPr>
        <w:t xml:space="preserve">   </w:t>
      </w:r>
    </w:p>
    <w:p>
      <w:pPr>
        <w:spacing w:line="360" w:lineRule="exact"/>
        <w:rPr>
          <w:rFonts w:eastAsia="Times New Roman"/>
          <w:color w:val="auto"/>
          <w:szCs w:val="21"/>
          <w:highlight w:val="none"/>
        </w:rPr>
      </w:pPr>
    </w:p>
    <w:p>
      <w:pPr>
        <w:spacing w:line="360" w:lineRule="exact"/>
        <w:rPr>
          <w:rFonts w:eastAsia="Times New Roman"/>
          <w:color w:val="auto"/>
          <w:szCs w:val="21"/>
          <w:highlight w:val="none"/>
        </w:rPr>
      </w:pPr>
    </w:p>
    <w:p>
      <w:pPr>
        <w:spacing w:line="360" w:lineRule="exact"/>
        <w:rPr>
          <w:rFonts w:eastAsia="Times New Roman"/>
          <w:color w:val="auto"/>
          <w:szCs w:val="21"/>
          <w:highlight w:val="none"/>
        </w:rPr>
      </w:pPr>
    </w:p>
    <w:p>
      <w:pPr>
        <w:spacing w:line="360" w:lineRule="exact"/>
        <w:rPr>
          <w:rFonts w:eastAsia="Times New Roman"/>
          <w:color w:val="auto"/>
          <w:szCs w:val="21"/>
          <w:highlight w:val="none"/>
        </w:rPr>
      </w:pPr>
    </w:p>
    <w:p>
      <w:pPr>
        <w:spacing w:line="360" w:lineRule="exact"/>
        <w:rPr>
          <w:rFonts w:eastAsia="Times New Roman"/>
          <w:color w:val="auto"/>
          <w:szCs w:val="21"/>
          <w:highlight w:val="none"/>
        </w:rPr>
      </w:pPr>
    </w:p>
    <w:p>
      <w:pPr>
        <w:rPr>
          <w:b/>
          <w:color w:val="auto"/>
          <w:szCs w:val="21"/>
          <w:highlight w:val="none"/>
        </w:rPr>
      </w:pPr>
    </w:p>
    <w:p>
      <w:pPr>
        <w:rPr>
          <w:b/>
          <w:color w:val="auto"/>
          <w:szCs w:val="21"/>
          <w:highlight w:val="none"/>
        </w:rPr>
        <w:sectPr>
          <w:footerReference r:id="rId16" w:type="default"/>
          <w:pgSz w:w="11906" w:h="16838"/>
          <w:pgMar w:top="1418" w:right="1418" w:bottom="1418" w:left="1418" w:header="851" w:footer="992" w:gutter="0"/>
          <w:pgNumType w:fmt="decimal"/>
          <w:cols w:space="720" w:num="1"/>
          <w:docGrid w:type="lines" w:linePitch="312" w:charSpace="0"/>
        </w:sectPr>
      </w:pPr>
    </w:p>
    <w:p>
      <w:pPr>
        <w:outlineLvl w:val="0"/>
        <w:rPr>
          <w:color w:val="auto"/>
          <w:highlight w:val="none"/>
        </w:rPr>
      </w:pPr>
      <w:bookmarkStart w:id="38" w:name="_Toc20531"/>
      <w:bookmarkStart w:id="39" w:name="_Toc24721"/>
      <w:r>
        <w:rPr>
          <w:rFonts w:hint="eastAsia" w:cs="Angsana New"/>
          <w:b/>
          <w:color w:val="auto"/>
          <w:kern w:val="0"/>
          <w:sz w:val="30"/>
          <w:szCs w:val="30"/>
          <w:highlight w:val="none"/>
          <w:lang w:bidi="ar"/>
        </w:rPr>
        <w:t>附件2</w:t>
      </w:r>
      <w:bookmarkEnd w:id="38"/>
      <w:bookmarkEnd w:id="39"/>
      <w:r>
        <w:rPr>
          <w:rFonts w:hint="eastAsia" w:cs="Angsana New"/>
          <w:b/>
          <w:color w:val="auto"/>
          <w:kern w:val="0"/>
          <w:sz w:val="30"/>
          <w:szCs w:val="30"/>
          <w:highlight w:val="none"/>
          <w:lang w:bidi="ar"/>
        </w:rPr>
        <w:t xml:space="preserve">    </w:t>
      </w:r>
      <w:r>
        <w:rPr>
          <w:b/>
          <w:color w:val="auto"/>
          <w:szCs w:val="21"/>
          <w:highlight w:val="none"/>
        </w:rPr>
        <w:t xml:space="preserve">         </w:t>
      </w:r>
    </w:p>
    <w:p>
      <w:pPr>
        <w:pStyle w:val="34"/>
        <w:rPr>
          <w:color w:val="auto"/>
          <w:highlight w:val="none"/>
        </w:rPr>
      </w:pPr>
    </w:p>
    <w:p>
      <w:pPr>
        <w:jc w:val="center"/>
        <w:rPr>
          <w:rFonts w:hint="eastAsia"/>
          <w:b/>
          <w:color w:val="auto"/>
          <w:sz w:val="44"/>
          <w:szCs w:val="44"/>
          <w:highlight w:val="none"/>
        </w:rPr>
      </w:pPr>
      <w:r>
        <w:rPr>
          <w:rFonts w:hint="eastAsia"/>
          <w:b/>
          <w:color w:val="auto"/>
          <w:sz w:val="44"/>
          <w:szCs w:val="44"/>
          <w:highlight w:val="none"/>
        </w:rPr>
        <w:t>报</w:t>
      </w:r>
      <w:r>
        <w:rPr>
          <w:b/>
          <w:color w:val="auto"/>
          <w:sz w:val="44"/>
          <w:szCs w:val="44"/>
          <w:highlight w:val="none"/>
        </w:rPr>
        <w:t xml:space="preserve"> </w:t>
      </w:r>
      <w:r>
        <w:rPr>
          <w:rFonts w:hint="eastAsia"/>
          <w:b/>
          <w:color w:val="auto"/>
          <w:sz w:val="44"/>
          <w:szCs w:val="44"/>
          <w:highlight w:val="none"/>
        </w:rPr>
        <w:t>价</w:t>
      </w:r>
      <w:r>
        <w:rPr>
          <w:b/>
          <w:color w:val="auto"/>
          <w:sz w:val="44"/>
          <w:szCs w:val="44"/>
          <w:highlight w:val="none"/>
        </w:rPr>
        <w:t xml:space="preserve"> </w:t>
      </w:r>
      <w:r>
        <w:rPr>
          <w:rFonts w:hint="eastAsia"/>
          <w:b/>
          <w:color w:val="auto"/>
          <w:sz w:val="44"/>
          <w:szCs w:val="44"/>
          <w:highlight w:val="none"/>
        </w:rPr>
        <w:t>表</w:t>
      </w:r>
    </w:p>
    <w:p>
      <w:pPr>
        <w:pStyle w:val="34"/>
        <w:rPr>
          <w:color w:val="auto"/>
          <w:highlight w:val="none"/>
        </w:rPr>
      </w:pPr>
    </w:p>
    <w:p>
      <w:pPr>
        <w:rPr>
          <w:color w:val="auto"/>
          <w:sz w:val="28"/>
          <w:szCs w:val="28"/>
          <w:highlight w:val="none"/>
          <w:u w:val="single"/>
        </w:rPr>
      </w:pPr>
      <w:r>
        <w:rPr>
          <w:rFonts w:hint="eastAsia"/>
          <w:color w:val="auto"/>
          <w:sz w:val="28"/>
          <w:szCs w:val="28"/>
          <w:highlight w:val="none"/>
        </w:rPr>
        <w:t>项目名称</w:t>
      </w:r>
      <w:r>
        <w:rPr>
          <w:color w:val="auto"/>
          <w:sz w:val="28"/>
          <w:szCs w:val="28"/>
          <w:highlight w:val="none"/>
        </w:rPr>
        <w:t>:</w:t>
      </w:r>
      <w:r>
        <w:rPr>
          <w:color w:val="auto"/>
          <w:sz w:val="28"/>
          <w:szCs w:val="28"/>
          <w:highlight w:val="none"/>
          <w:u w:val="single"/>
        </w:rPr>
        <w:t xml:space="preserve">               </w:t>
      </w:r>
      <w:r>
        <w:rPr>
          <w:rFonts w:hint="eastAsia"/>
          <w:color w:val="auto"/>
          <w:sz w:val="28"/>
          <w:szCs w:val="28"/>
          <w:highlight w:val="none"/>
          <w:u w:val="single"/>
        </w:rPr>
        <w:t>项目</w:t>
      </w:r>
      <w:r>
        <w:rPr>
          <w:color w:val="auto"/>
          <w:sz w:val="28"/>
          <w:szCs w:val="28"/>
          <w:highlight w:val="none"/>
          <w:u w:val="single"/>
        </w:rPr>
        <w:t xml:space="preserve">   </w:t>
      </w:r>
    </w:p>
    <w:p>
      <w:pPr>
        <w:pStyle w:val="34"/>
        <w:rPr>
          <w:color w:val="auto"/>
          <w:highlight w:val="none"/>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402"/>
        <w:gridCol w:w="1133"/>
        <w:gridCol w:w="852"/>
        <w:gridCol w:w="1700"/>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4" w:type="dxa"/>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序号</w:t>
            </w:r>
          </w:p>
          <w:p>
            <w:pPr>
              <w:pStyle w:val="34"/>
              <w:keepNext w:val="0"/>
              <w:keepLines w:val="0"/>
              <w:suppressLineNumbers w:val="0"/>
              <w:spacing w:before="0" w:beforeAutospacing="0" w:after="0" w:afterAutospacing="0"/>
              <w:ind w:left="0" w:right="0"/>
              <w:rPr>
                <w:rFonts w:hint="eastAsia" w:ascii="仿宋_GB2312" w:hAnsi="仿宋_GB2312" w:eastAsia="仿宋_GB2312" w:cs="仿宋_GB2312"/>
                <w:color w:val="auto"/>
                <w:highlight w:val="none"/>
              </w:rPr>
            </w:pPr>
          </w:p>
        </w:tc>
        <w:tc>
          <w:tcPr>
            <w:tcW w:w="3402"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内容</w:t>
            </w:r>
          </w:p>
          <w:p>
            <w:pPr>
              <w:pStyle w:val="34"/>
              <w:keepNext w:val="0"/>
              <w:keepLines w:val="0"/>
              <w:suppressLineNumbers w:val="0"/>
              <w:spacing w:before="0" w:beforeAutospacing="0" w:after="0" w:afterAutospacing="0"/>
              <w:ind w:left="0" w:right="0"/>
              <w:rPr>
                <w:rFonts w:hint="eastAsia" w:ascii="仿宋_GB2312" w:hAnsi="仿宋_GB2312" w:eastAsia="仿宋_GB2312" w:cs="仿宋_GB2312"/>
                <w:color w:val="auto"/>
                <w:highlight w:val="none"/>
              </w:rPr>
            </w:pPr>
          </w:p>
        </w:tc>
        <w:tc>
          <w:tcPr>
            <w:tcW w:w="1133" w:type="dxa"/>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单位</w:t>
            </w:r>
          </w:p>
          <w:p>
            <w:pPr>
              <w:pStyle w:val="34"/>
              <w:keepNext w:val="0"/>
              <w:keepLines w:val="0"/>
              <w:suppressLineNumbers w:val="0"/>
              <w:spacing w:before="0" w:beforeAutospacing="0" w:after="0" w:afterAutospacing="0"/>
              <w:ind w:left="0" w:right="0"/>
              <w:rPr>
                <w:rFonts w:hint="eastAsia" w:ascii="仿宋_GB2312" w:hAnsi="仿宋_GB2312" w:eastAsia="仿宋_GB2312" w:cs="仿宋_GB2312"/>
                <w:color w:val="auto"/>
                <w:highlight w:val="none"/>
              </w:rPr>
            </w:pPr>
          </w:p>
        </w:tc>
        <w:tc>
          <w:tcPr>
            <w:tcW w:w="852" w:type="dxa"/>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数量</w:t>
            </w:r>
          </w:p>
          <w:p>
            <w:pPr>
              <w:pStyle w:val="34"/>
              <w:keepNext w:val="0"/>
              <w:keepLines w:val="0"/>
              <w:suppressLineNumbers w:val="0"/>
              <w:spacing w:before="0" w:beforeAutospacing="0" w:after="0" w:afterAutospacing="0"/>
              <w:ind w:left="0" w:right="0"/>
              <w:rPr>
                <w:rFonts w:hint="eastAsia" w:ascii="仿宋_GB2312" w:hAnsi="仿宋_GB2312" w:eastAsia="仿宋_GB2312" w:cs="仿宋_GB2312"/>
                <w:color w:val="auto"/>
                <w:highlight w:val="none"/>
              </w:rPr>
            </w:pPr>
          </w:p>
        </w:tc>
        <w:tc>
          <w:tcPr>
            <w:tcW w:w="1700"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总价</w:t>
            </w:r>
          </w:p>
          <w:p>
            <w:pPr>
              <w:pStyle w:val="34"/>
              <w:keepNext w:val="0"/>
              <w:keepLines w:val="0"/>
              <w:suppressLineNumbers w:val="0"/>
              <w:spacing w:before="0" w:beforeAutospacing="0" w:after="0" w:afterAutospacing="0"/>
              <w:ind w:left="0" w:right="0"/>
              <w:rPr>
                <w:rFonts w:hint="eastAsia" w:ascii="仿宋_GB2312" w:hAnsi="仿宋_GB2312" w:eastAsia="仿宋_GB2312" w:cs="仿宋_GB2312"/>
                <w:color w:val="auto"/>
                <w:highlight w:val="none"/>
              </w:rPr>
            </w:pPr>
          </w:p>
        </w:tc>
        <w:tc>
          <w:tcPr>
            <w:tcW w:w="1559" w:type="dxa"/>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534" w:type="dxa"/>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p>
        </w:tc>
        <w:tc>
          <w:tcPr>
            <w:tcW w:w="3402" w:type="dxa"/>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8"/>
                <w:szCs w:val="28"/>
                <w:highlight w:val="none"/>
              </w:rPr>
            </w:pPr>
          </w:p>
        </w:tc>
        <w:tc>
          <w:tcPr>
            <w:tcW w:w="1133" w:type="dxa"/>
            <w:noWrap w:val="0"/>
            <w:vAlign w:val="center"/>
          </w:tcPr>
          <w:p>
            <w:pPr>
              <w:keepNext w:val="0"/>
              <w:keepLines w:val="0"/>
              <w:suppressLineNumbers w:val="0"/>
              <w:spacing w:before="0" w:beforeAutospacing="0" w:after="0" w:afterAutospacing="0"/>
              <w:ind w:left="0" w:right="0" w:firstLine="280" w:firstLineChars="1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项</w:t>
            </w:r>
          </w:p>
        </w:tc>
        <w:tc>
          <w:tcPr>
            <w:tcW w:w="852" w:type="dxa"/>
            <w:noWrap w:val="0"/>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auto"/>
                <w:sz w:val="28"/>
                <w:szCs w:val="28"/>
                <w:highlight w:val="none"/>
              </w:rPr>
            </w:pPr>
          </w:p>
        </w:tc>
        <w:tc>
          <w:tcPr>
            <w:tcW w:w="1700" w:type="dxa"/>
            <w:noWrap w:val="0"/>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8"/>
                <w:szCs w:val="28"/>
                <w:highlight w:val="none"/>
              </w:rPr>
            </w:pPr>
          </w:p>
        </w:tc>
        <w:tc>
          <w:tcPr>
            <w:tcW w:w="1559" w:type="dxa"/>
            <w:noWrap w:val="0"/>
            <w:vAlign w:val="top"/>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8"/>
                <w:szCs w:val="28"/>
                <w:highlight w:val="none"/>
              </w:rPr>
              <w:t>2</w:t>
            </w:r>
          </w:p>
        </w:tc>
        <w:tc>
          <w:tcPr>
            <w:tcW w:w="3402" w:type="dxa"/>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服务期限</w:t>
            </w:r>
          </w:p>
        </w:tc>
        <w:tc>
          <w:tcPr>
            <w:tcW w:w="5244" w:type="dxa"/>
            <w:gridSpan w:val="4"/>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534" w:type="dxa"/>
            <w:noWrap w:val="0"/>
            <w:vAlign w:val="center"/>
          </w:tcPr>
          <w:p>
            <w:pPr>
              <w:pStyle w:val="34"/>
              <w:keepNext w:val="0"/>
              <w:keepLines w:val="0"/>
              <w:suppressLineNumbers w:val="0"/>
              <w:spacing w:before="0" w:beforeAutospacing="0" w:after="0" w:afterAutospacing="0"/>
              <w:ind w:left="0" w:right="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8"/>
                <w:szCs w:val="28"/>
                <w:highlight w:val="none"/>
              </w:rPr>
              <w:t>3</w:t>
            </w:r>
          </w:p>
        </w:tc>
        <w:tc>
          <w:tcPr>
            <w:tcW w:w="3402" w:type="dxa"/>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开票方式</w:t>
            </w:r>
          </w:p>
        </w:tc>
        <w:tc>
          <w:tcPr>
            <w:tcW w:w="5244" w:type="dxa"/>
            <w:gridSpan w:val="4"/>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34" w:type="dxa"/>
            <w:noWrap w:val="0"/>
            <w:vAlign w:val="center"/>
          </w:tcPr>
          <w:p>
            <w:pPr>
              <w:pStyle w:val="34"/>
              <w:keepNext w:val="0"/>
              <w:keepLines w:val="0"/>
              <w:suppressLineNumbers w:val="0"/>
              <w:spacing w:before="0" w:beforeAutospacing="0" w:after="0" w:afterAutospacing="0"/>
              <w:ind w:left="0" w:right="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8"/>
                <w:szCs w:val="28"/>
                <w:highlight w:val="none"/>
              </w:rPr>
              <w:t>4</w:t>
            </w:r>
          </w:p>
        </w:tc>
        <w:tc>
          <w:tcPr>
            <w:tcW w:w="3402" w:type="dxa"/>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付款方式</w:t>
            </w:r>
          </w:p>
        </w:tc>
        <w:tc>
          <w:tcPr>
            <w:tcW w:w="5244" w:type="dxa"/>
            <w:gridSpan w:val="4"/>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34" w:type="dxa"/>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8"/>
                <w:szCs w:val="28"/>
                <w:highlight w:val="none"/>
              </w:rPr>
              <w:t>5</w:t>
            </w:r>
          </w:p>
        </w:tc>
        <w:tc>
          <w:tcPr>
            <w:tcW w:w="3402" w:type="dxa"/>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其他</w:t>
            </w:r>
          </w:p>
        </w:tc>
        <w:tc>
          <w:tcPr>
            <w:tcW w:w="5244" w:type="dxa"/>
            <w:gridSpan w:val="4"/>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8"/>
                <w:szCs w:val="28"/>
                <w:highlight w:val="none"/>
              </w:rPr>
            </w:pPr>
          </w:p>
        </w:tc>
      </w:tr>
    </w:tbl>
    <w:p>
      <w:pPr>
        <w:rPr>
          <w:rFonts w:hint="eastAsia"/>
          <w:color w:val="auto"/>
          <w:sz w:val="28"/>
          <w:szCs w:val="28"/>
          <w:highlight w:val="none"/>
        </w:rPr>
      </w:pPr>
    </w:p>
    <w:p>
      <w:p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注：所有价格均用人民币表示，单位为元，精确到小数点后2位。</w:t>
      </w:r>
    </w:p>
    <w:p>
      <w:pPr>
        <w:pStyle w:val="34"/>
        <w:rPr>
          <w:rFonts w:hint="eastAsia" w:ascii="仿宋_GB2312" w:hAnsi="仿宋_GB2312" w:eastAsia="仿宋_GB2312" w:cs="仿宋_GB2312"/>
          <w:color w:val="auto"/>
          <w:highlight w:val="none"/>
        </w:rPr>
      </w:pPr>
    </w:p>
    <w:p>
      <w:pP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授权代表（签字）:</w:t>
      </w:r>
    </w:p>
    <w:p>
      <w:pPr>
        <w:pStyle w:val="34"/>
        <w:rPr>
          <w:rFonts w:hint="eastAsia" w:ascii="仿宋_GB2312" w:hAnsi="仿宋_GB2312" w:eastAsia="仿宋_GB2312" w:cs="仿宋_GB2312"/>
          <w:color w:val="auto"/>
          <w:highlight w:val="none"/>
        </w:rPr>
      </w:pPr>
    </w:p>
    <w:p>
      <w:pPr>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磋商供应商名称（签章）：</w:t>
      </w:r>
    </w:p>
    <w:p>
      <w:pPr>
        <w:rPr>
          <w:rFonts w:hint="eastAsia" w:ascii="仿宋_GB2312" w:hAnsi="仿宋_GB2312" w:eastAsia="仿宋_GB2312" w:cs="仿宋_GB2312"/>
          <w:color w:val="auto"/>
          <w:sz w:val="28"/>
          <w:szCs w:val="28"/>
          <w:highlight w:val="none"/>
        </w:rPr>
      </w:pPr>
    </w:p>
    <w:p>
      <w:pPr>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 xml:space="preserve">报价时间：年   月    日 </w:t>
      </w:r>
    </w:p>
    <w:p>
      <w:pPr>
        <w:pStyle w:val="34"/>
        <w:rPr>
          <w:rFonts w:ascii="宋体"/>
          <w:b/>
          <w:bCs/>
          <w:caps/>
          <w:color w:val="auto"/>
          <w:highlight w:val="none"/>
        </w:rPr>
      </w:pPr>
    </w:p>
    <w:p>
      <w:pPr>
        <w:pStyle w:val="34"/>
        <w:rPr>
          <w:rFonts w:ascii="宋体"/>
          <w:b/>
          <w:bCs/>
          <w:caps/>
          <w:color w:val="auto"/>
          <w:highlight w:val="none"/>
        </w:rPr>
      </w:pPr>
    </w:p>
    <w:p>
      <w:pPr>
        <w:pStyle w:val="34"/>
        <w:rPr>
          <w:rFonts w:ascii="宋体"/>
          <w:b/>
          <w:bCs/>
          <w:caps/>
          <w:color w:val="auto"/>
          <w:highlight w:val="none"/>
        </w:rPr>
      </w:pPr>
    </w:p>
    <w:p>
      <w:pPr>
        <w:pStyle w:val="34"/>
        <w:rPr>
          <w:rFonts w:ascii="宋体"/>
          <w:b/>
          <w:bCs/>
          <w:caps/>
          <w:color w:val="auto"/>
          <w:highlight w:val="none"/>
        </w:rPr>
      </w:pPr>
    </w:p>
    <w:p>
      <w:pPr>
        <w:outlineLvl w:val="0"/>
        <w:rPr>
          <w:rFonts w:hint="eastAsia" w:ascii="仿宋_GB2312" w:hAnsi="仿宋_GB2312" w:eastAsia="仿宋_GB2312" w:cs="仿宋_GB2312"/>
          <w:b/>
          <w:color w:val="auto"/>
          <w:kern w:val="0"/>
          <w:sz w:val="30"/>
          <w:szCs w:val="30"/>
          <w:highlight w:val="none"/>
          <w:lang w:bidi="ar"/>
        </w:rPr>
      </w:pPr>
      <w:bookmarkStart w:id="40" w:name="_Toc15393"/>
      <w:r>
        <w:rPr>
          <w:rFonts w:hint="eastAsia" w:ascii="仿宋_GB2312" w:hAnsi="仿宋_GB2312" w:eastAsia="仿宋_GB2312" w:cs="仿宋_GB2312"/>
          <w:b/>
          <w:color w:val="auto"/>
          <w:kern w:val="0"/>
          <w:sz w:val="30"/>
          <w:szCs w:val="30"/>
          <w:highlight w:val="none"/>
          <w:lang w:bidi="ar"/>
        </w:rPr>
        <w:t>附件3</w:t>
      </w:r>
      <w:bookmarkEnd w:id="40"/>
    </w:p>
    <w:p>
      <w:pPr>
        <w:pStyle w:val="14"/>
        <w:ind w:firstLine="241"/>
        <w:jc w:val="center"/>
        <w:rPr>
          <w:rFonts w:hint="eastAsia" w:ascii="仿宋_GB2312" w:hAnsi="仿宋_GB2312" w:eastAsia="仿宋_GB2312" w:cs="仿宋_GB2312"/>
          <w:color w:val="auto"/>
          <w:highlight w:val="none"/>
          <w:lang w:bidi="ar"/>
        </w:rPr>
      </w:pPr>
      <w:r>
        <w:rPr>
          <w:rFonts w:hint="eastAsia" w:ascii="仿宋_GB2312" w:hAnsi="仿宋_GB2312" w:eastAsia="仿宋_GB2312" w:cs="仿宋_GB2312"/>
          <w:color w:val="auto"/>
          <w:highlight w:val="none"/>
          <w:lang w:bidi="ar"/>
        </w:rPr>
        <w:t>商务响应表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969"/>
        <w:gridCol w:w="3544"/>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pStyle w:val="15"/>
              <w:keepNext w:val="0"/>
              <w:keepLines w:val="0"/>
              <w:suppressLineNumbers w:val="0"/>
              <w:spacing w:before="0" w:beforeAutospacing="0" w:after="0" w:afterAutospacing="0" w:line="240" w:lineRule="atLeast"/>
              <w:ind w:left="0" w:right="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bidi="ar"/>
              </w:rPr>
              <w:t>项号</w:t>
            </w:r>
          </w:p>
        </w:tc>
        <w:tc>
          <w:tcPr>
            <w:tcW w:w="3969" w:type="dxa"/>
            <w:tcBorders>
              <w:top w:val="single" w:color="auto" w:sz="4" w:space="0"/>
              <w:left w:val="nil"/>
              <w:bottom w:val="single" w:color="auto" w:sz="4" w:space="0"/>
              <w:right w:val="single" w:color="auto" w:sz="4" w:space="0"/>
            </w:tcBorders>
            <w:noWrap w:val="0"/>
            <w:vAlign w:val="center"/>
          </w:tcPr>
          <w:p>
            <w:pPr>
              <w:pStyle w:val="15"/>
              <w:keepNext w:val="0"/>
              <w:keepLines w:val="0"/>
              <w:suppressLineNumbers w:val="0"/>
              <w:spacing w:before="0" w:beforeAutospacing="0" w:after="0" w:afterAutospacing="0" w:line="240" w:lineRule="atLeast"/>
              <w:ind w:left="0" w:right="0"/>
              <w:jc w:val="center"/>
              <w:rPr>
                <w:rFonts w:hint="eastAsia" w:ascii="仿宋_GB2312" w:hAnsi="仿宋_GB2312" w:eastAsia="仿宋_GB2312" w:cs="仿宋_GB2312"/>
                <w:b/>
                <w:color w:val="auto"/>
                <w:kern w:val="0"/>
                <w:sz w:val="24"/>
                <w:szCs w:val="24"/>
                <w:highlight w:val="none"/>
              </w:rPr>
            </w:pPr>
            <w:r>
              <w:rPr>
                <w:rFonts w:hint="eastAsia" w:ascii="仿宋_GB2312" w:hAnsi="仿宋_GB2312" w:eastAsia="仿宋_GB2312" w:cs="仿宋_GB2312"/>
                <w:bCs/>
                <w:color w:val="auto"/>
                <w:kern w:val="0"/>
                <w:sz w:val="24"/>
                <w:szCs w:val="24"/>
                <w:highlight w:val="none"/>
                <w:lang w:bidi="ar"/>
              </w:rPr>
              <w:t>商务条款竞标要求</w:t>
            </w:r>
          </w:p>
        </w:tc>
        <w:tc>
          <w:tcPr>
            <w:tcW w:w="3544" w:type="dxa"/>
            <w:tcBorders>
              <w:top w:val="single" w:color="auto" w:sz="4" w:space="0"/>
              <w:left w:val="nil"/>
              <w:bottom w:val="single" w:color="auto" w:sz="4" w:space="0"/>
              <w:right w:val="single" w:color="auto" w:sz="4" w:space="0"/>
            </w:tcBorders>
            <w:noWrap w:val="0"/>
            <w:vAlign w:val="center"/>
          </w:tcPr>
          <w:p>
            <w:pPr>
              <w:pStyle w:val="15"/>
              <w:keepNext w:val="0"/>
              <w:keepLines w:val="0"/>
              <w:suppressLineNumbers w:val="0"/>
              <w:spacing w:before="0" w:beforeAutospacing="0" w:after="0" w:afterAutospacing="0" w:line="240" w:lineRule="atLeast"/>
              <w:ind w:left="0" w:right="0"/>
              <w:jc w:val="center"/>
              <w:rPr>
                <w:rFonts w:hint="eastAsia" w:ascii="仿宋_GB2312" w:hAnsi="仿宋_GB2312" w:eastAsia="仿宋_GB2312" w:cs="仿宋_GB2312"/>
                <w:b/>
                <w:color w:val="auto"/>
                <w:kern w:val="0"/>
                <w:sz w:val="24"/>
                <w:szCs w:val="24"/>
                <w:highlight w:val="none"/>
              </w:rPr>
            </w:pPr>
            <w:r>
              <w:rPr>
                <w:rFonts w:hint="eastAsia" w:ascii="仿宋_GB2312" w:hAnsi="仿宋_GB2312" w:eastAsia="仿宋_GB2312" w:cs="仿宋_GB2312"/>
                <w:bCs/>
                <w:color w:val="auto"/>
                <w:kern w:val="0"/>
                <w:sz w:val="24"/>
                <w:szCs w:val="24"/>
                <w:highlight w:val="none"/>
                <w:lang w:bidi="ar"/>
              </w:rPr>
              <w:t>商务条款响应内容</w:t>
            </w:r>
          </w:p>
        </w:tc>
        <w:tc>
          <w:tcPr>
            <w:tcW w:w="735" w:type="dxa"/>
            <w:tcBorders>
              <w:top w:val="single" w:color="auto" w:sz="4" w:space="0"/>
              <w:left w:val="nil"/>
              <w:bottom w:val="single" w:color="auto" w:sz="4" w:space="0"/>
              <w:right w:val="single" w:color="auto" w:sz="4" w:space="0"/>
            </w:tcBorders>
            <w:noWrap w:val="0"/>
            <w:vAlign w:val="center"/>
          </w:tcPr>
          <w:p>
            <w:pPr>
              <w:pStyle w:val="15"/>
              <w:keepNext w:val="0"/>
              <w:keepLines w:val="0"/>
              <w:suppressLineNumbers w:val="0"/>
              <w:spacing w:before="0" w:beforeAutospacing="0" w:after="0" w:afterAutospacing="0" w:line="240" w:lineRule="atLeast"/>
              <w:ind w:left="0" w:right="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bidi="ar"/>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bidi="ar"/>
              </w:rPr>
              <w:t>1</w:t>
            </w:r>
          </w:p>
        </w:tc>
        <w:tc>
          <w:tcPr>
            <w:tcW w:w="3969" w:type="dxa"/>
            <w:tcBorders>
              <w:top w:val="single" w:color="auto" w:sz="4" w:space="0"/>
              <w:left w:val="nil"/>
              <w:bottom w:val="single" w:color="auto" w:sz="4" w:space="0"/>
              <w:right w:val="single" w:color="auto" w:sz="4" w:space="0"/>
            </w:tcBorders>
            <w:noWrap w:val="0"/>
            <w:vAlign w:val="center"/>
          </w:tcPr>
          <w:p>
            <w:pPr>
              <w:pStyle w:val="15"/>
              <w:keepNext w:val="0"/>
              <w:keepLines w:val="0"/>
              <w:suppressLineNumbers w:val="0"/>
              <w:spacing w:before="0" w:beforeAutospacing="0" w:after="0" w:afterAutospacing="0" w:line="240" w:lineRule="atLeast"/>
              <w:ind w:left="0" w:right="0"/>
              <w:jc w:val="center"/>
              <w:rPr>
                <w:rFonts w:hint="eastAsia" w:ascii="仿宋_GB2312" w:hAnsi="仿宋_GB2312" w:eastAsia="仿宋_GB2312" w:cs="仿宋_GB2312"/>
                <w:b/>
                <w:color w:val="auto"/>
                <w:kern w:val="0"/>
                <w:sz w:val="24"/>
                <w:szCs w:val="24"/>
                <w:highlight w:val="none"/>
              </w:rPr>
            </w:pPr>
          </w:p>
        </w:tc>
        <w:tc>
          <w:tcPr>
            <w:tcW w:w="3544" w:type="dxa"/>
            <w:tcBorders>
              <w:top w:val="single" w:color="auto" w:sz="4" w:space="0"/>
              <w:left w:val="nil"/>
              <w:bottom w:val="single" w:color="auto" w:sz="4" w:space="0"/>
              <w:right w:val="single" w:color="auto" w:sz="4" w:space="0"/>
            </w:tcBorders>
            <w:noWrap w:val="0"/>
            <w:vAlign w:val="center"/>
          </w:tcPr>
          <w:p>
            <w:pPr>
              <w:pStyle w:val="15"/>
              <w:keepNext w:val="0"/>
              <w:keepLines w:val="0"/>
              <w:suppressLineNumbers w:val="0"/>
              <w:spacing w:before="240" w:beforeAutospacing="0" w:after="0" w:afterAutospacing="0" w:line="240" w:lineRule="atLeast"/>
              <w:ind w:left="0" w:right="0"/>
              <w:jc w:val="center"/>
              <w:rPr>
                <w:rFonts w:hint="eastAsia" w:ascii="仿宋_GB2312" w:hAnsi="仿宋_GB2312" w:eastAsia="仿宋_GB2312" w:cs="仿宋_GB2312"/>
                <w:b/>
                <w:color w:val="auto"/>
                <w:kern w:val="0"/>
                <w:sz w:val="24"/>
                <w:szCs w:val="24"/>
                <w:highlight w:val="none"/>
              </w:rPr>
            </w:pPr>
          </w:p>
        </w:tc>
        <w:tc>
          <w:tcPr>
            <w:tcW w:w="735" w:type="dxa"/>
            <w:tcBorders>
              <w:top w:val="single" w:color="auto" w:sz="4" w:space="0"/>
              <w:left w:val="nil"/>
              <w:bottom w:val="single" w:color="auto" w:sz="4" w:space="0"/>
              <w:right w:val="single" w:color="auto" w:sz="4" w:space="0"/>
            </w:tcBorders>
            <w:noWrap w:val="0"/>
            <w:vAlign w:val="center"/>
          </w:tcPr>
          <w:p>
            <w:pPr>
              <w:pStyle w:val="15"/>
              <w:keepNext w:val="0"/>
              <w:keepLines w:val="0"/>
              <w:suppressLineNumbers w:val="0"/>
              <w:spacing w:before="240" w:beforeAutospacing="0" w:after="0" w:afterAutospacing="0" w:line="240" w:lineRule="atLeast"/>
              <w:ind w:left="0" w:right="0"/>
              <w:jc w:val="center"/>
              <w:rPr>
                <w:rFonts w:hint="eastAsia" w:ascii="仿宋_GB2312" w:hAnsi="仿宋_GB2312" w:eastAsia="仿宋_GB2312" w:cs="仿宋_GB2312"/>
                <w:b/>
                <w:color w:val="auto"/>
                <w:kern w:val="0"/>
                <w:sz w:val="24"/>
                <w:szCs w:val="24"/>
                <w:highlight w:val="none"/>
              </w:rPr>
            </w:pPr>
            <w:r>
              <w:rPr>
                <w:rFonts w:hint="eastAsia" w:ascii="仿宋_GB2312" w:hAnsi="仿宋_GB2312" w:eastAsia="仿宋_GB2312" w:cs="仿宋_GB2312"/>
                <w:bCs/>
                <w:color w:val="auto"/>
                <w:kern w:val="0"/>
                <w:sz w:val="24"/>
                <w:szCs w:val="24"/>
                <w:highlight w:val="none"/>
                <w:lang w:bidi="ar"/>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4" w:type="dxa"/>
            <w:vMerge w:val="restart"/>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bidi="ar"/>
              </w:rPr>
              <w:t>2</w:t>
            </w:r>
          </w:p>
        </w:tc>
        <w:tc>
          <w:tcPr>
            <w:tcW w:w="3969" w:type="dxa"/>
            <w:tcBorders>
              <w:top w:val="single" w:color="auto" w:sz="4" w:space="0"/>
              <w:left w:val="nil"/>
              <w:bottom w:val="single" w:color="auto" w:sz="4" w:space="0"/>
              <w:right w:val="single" w:color="auto" w:sz="4" w:space="0"/>
            </w:tcBorders>
            <w:noWrap w:val="0"/>
            <w:vAlign w:val="center"/>
          </w:tcPr>
          <w:p>
            <w:pPr>
              <w:pStyle w:val="15"/>
              <w:keepNext w:val="0"/>
              <w:keepLines w:val="0"/>
              <w:suppressLineNumbers w:val="0"/>
              <w:spacing w:before="0" w:beforeAutospacing="0" w:after="0" w:afterAutospacing="0" w:line="240" w:lineRule="atLeast"/>
              <w:ind w:left="0" w:right="0"/>
              <w:jc w:val="center"/>
              <w:rPr>
                <w:rFonts w:hint="eastAsia" w:ascii="仿宋_GB2312" w:hAnsi="仿宋_GB2312" w:eastAsia="仿宋_GB2312" w:cs="仿宋_GB2312"/>
                <w:b/>
                <w:color w:val="auto"/>
                <w:kern w:val="0"/>
                <w:sz w:val="24"/>
                <w:szCs w:val="24"/>
                <w:highlight w:val="none"/>
              </w:rPr>
            </w:pPr>
          </w:p>
        </w:tc>
        <w:tc>
          <w:tcPr>
            <w:tcW w:w="3544" w:type="dxa"/>
            <w:tcBorders>
              <w:top w:val="single" w:color="auto" w:sz="4" w:space="0"/>
              <w:left w:val="nil"/>
              <w:bottom w:val="single" w:color="auto" w:sz="4" w:space="0"/>
              <w:right w:val="single" w:color="auto" w:sz="4" w:space="0"/>
            </w:tcBorders>
            <w:noWrap w:val="0"/>
            <w:vAlign w:val="center"/>
          </w:tcPr>
          <w:p>
            <w:pPr>
              <w:pStyle w:val="15"/>
              <w:keepNext w:val="0"/>
              <w:keepLines w:val="0"/>
              <w:suppressLineNumbers w:val="0"/>
              <w:spacing w:before="0" w:beforeAutospacing="0" w:after="0" w:afterAutospacing="0" w:line="240" w:lineRule="atLeast"/>
              <w:ind w:left="0" w:right="0"/>
              <w:jc w:val="center"/>
              <w:rPr>
                <w:rFonts w:hint="eastAsia" w:ascii="仿宋_GB2312" w:hAnsi="仿宋_GB2312" w:eastAsia="仿宋_GB2312" w:cs="仿宋_GB2312"/>
                <w:b/>
                <w:color w:val="auto"/>
                <w:kern w:val="0"/>
                <w:sz w:val="24"/>
                <w:szCs w:val="24"/>
                <w:highlight w:val="none"/>
              </w:rPr>
            </w:pPr>
          </w:p>
        </w:tc>
        <w:tc>
          <w:tcPr>
            <w:tcW w:w="735" w:type="dxa"/>
            <w:tcBorders>
              <w:top w:val="single" w:color="auto" w:sz="4" w:space="0"/>
              <w:left w:val="nil"/>
              <w:bottom w:val="single" w:color="auto" w:sz="4" w:space="0"/>
              <w:right w:val="single" w:color="auto" w:sz="4" w:space="0"/>
            </w:tcBorders>
            <w:noWrap w:val="0"/>
            <w:vAlign w:val="center"/>
          </w:tcPr>
          <w:p>
            <w:pPr>
              <w:pStyle w:val="15"/>
              <w:keepNext w:val="0"/>
              <w:keepLines w:val="0"/>
              <w:suppressLineNumbers w:val="0"/>
              <w:spacing w:before="0" w:beforeAutospacing="0" w:after="0" w:afterAutospacing="0" w:line="240" w:lineRule="atLeast"/>
              <w:ind w:left="0" w:right="0"/>
              <w:jc w:val="center"/>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bidi="ar"/>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4"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4"/>
                <w:szCs w:val="24"/>
                <w:highlight w:val="none"/>
              </w:rPr>
            </w:pPr>
          </w:p>
        </w:tc>
        <w:tc>
          <w:tcPr>
            <w:tcW w:w="3969"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rPr>
                <w:rFonts w:hint="eastAsia" w:ascii="仿宋_GB2312" w:hAnsi="仿宋_GB2312" w:eastAsia="仿宋_GB2312" w:cs="仿宋_GB2312"/>
                <w:color w:val="auto"/>
                <w:sz w:val="24"/>
                <w:szCs w:val="24"/>
                <w:highlight w:val="none"/>
              </w:rPr>
            </w:pPr>
          </w:p>
        </w:tc>
        <w:tc>
          <w:tcPr>
            <w:tcW w:w="3544" w:type="dxa"/>
            <w:tcBorders>
              <w:top w:val="single" w:color="auto" w:sz="4" w:space="0"/>
              <w:left w:val="nil"/>
              <w:bottom w:val="single" w:color="auto" w:sz="4" w:space="0"/>
              <w:right w:val="single" w:color="auto" w:sz="4" w:space="0"/>
            </w:tcBorders>
            <w:noWrap w:val="0"/>
            <w:vAlign w:val="center"/>
          </w:tcPr>
          <w:p>
            <w:pPr>
              <w:pStyle w:val="15"/>
              <w:keepNext w:val="0"/>
              <w:keepLines w:val="0"/>
              <w:suppressLineNumbers w:val="0"/>
              <w:spacing w:before="240" w:beforeAutospacing="0" w:after="0" w:afterAutospacing="0" w:line="240" w:lineRule="atLeast"/>
              <w:ind w:left="0" w:right="0"/>
              <w:jc w:val="center"/>
              <w:rPr>
                <w:rFonts w:hint="eastAsia" w:ascii="仿宋_GB2312" w:hAnsi="仿宋_GB2312" w:eastAsia="仿宋_GB2312" w:cs="仿宋_GB2312"/>
                <w:b/>
                <w:color w:val="auto"/>
                <w:kern w:val="0"/>
                <w:sz w:val="24"/>
                <w:szCs w:val="24"/>
                <w:highlight w:val="none"/>
              </w:rPr>
            </w:pPr>
          </w:p>
        </w:tc>
        <w:tc>
          <w:tcPr>
            <w:tcW w:w="735" w:type="dxa"/>
            <w:tcBorders>
              <w:top w:val="single" w:color="auto" w:sz="4" w:space="0"/>
              <w:left w:val="nil"/>
              <w:bottom w:val="single" w:color="auto" w:sz="4" w:space="0"/>
              <w:right w:val="single" w:color="auto" w:sz="4" w:space="0"/>
            </w:tcBorders>
            <w:noWrap w:val="0"/>
            <w:vAlign w:val="center"/>
          </w:tcPr>
          <w:p>
            <w:pPr>
              <w:pStyle w:val="15"/>
              <w:keepNext w:val="0"/>
              <w:keepLines w:val="0"/>
              <w:suppressLineNumbers w:val="0"/>
              <w:spacing w:before="240" w:beforeAutospacing="0" w:after="0" w:afterAutospacing="0" w:line="240" w:lineRule="atLeast"/>
              <w:ind w:left="0" w:right="0"/>
              <w:jc w:val="center"/>
              <w:rPr>
                <w:rFonts w:hint="eastAsia" w:ascii="仿宋_GB2312" w:hAnsi="仿宋_GB2312" w:eastAsia="仿宋_GB2312" w:cs="仿宋_GB2312"/>
                <w:b/>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4"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4"/>
                <w:szCs w:val="24"/>
                <w:highlight w:val="none"/>
              </w:rPr>
            </w:pPr>
          </w:p>
        </w:tc>
        <w:tc>
          <w:tcPr>
            <w:tcW w:w="3969"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rPr>
                <w:rFonts w:hint="eastAsia" w:ascii="仿宋_GB2312" w:hAnsi="仿宋_GB2312" w:eastAsia="仿宋_GB2312" w:cs="仿宋_GB2312"/>
                <w:color w:val="auto"/>
                <w:sz w:val="24"/>
                <w:szCs w:val="24"/>
                <w:highlight w:val="none"/>
              </w:rPr>
            </w:pPr>
          </w:p>
        </w:tc>
        <w:tc>
          <w:tcPr>
            <w:tcW w:w="3544" w:type="dxa"/>
            <w:tcBorders>
              <w:top w:val="single" w:color="auto" w:sz="4" w:space="0"/>
              <w:left w:val="nil"/>
              <w:bottom w:val="single" w:color="auto" w:sz="4" w:space="0"/>
              <w:right w:val="single" w:color="auto" w:sz="4" w:space="0"/>
            </w:tcBorders>
            <w:noWrap w:val="0"/>
            <w:vAlign w:val="center"/>
          </w:tcPr>
          <w:p>
            <w:pPr>
              <w:pStyle w:val="15"/>
              <w:keepNext w:val="0"/>
              <w:keepLines w:val="0"/>
              <w:suppressLineNumbers w:val="0"/>
              <w:spacing w:before="240" w:beforeAutospacing="0" w:after="0" w:afterAutospacing="0" w:line="240" w:lineRule="atLeast"/>
              <w:ind w:left="0" w:right="0"/>
              <w:jc w:val="center"/>
              <w:rPr>
                <w:rFonts w:hint="eastAsia" w:ascii="仿宋_GB2312" w:hAnsi="仿宋_GB2312" w:eastAsia="仿宋_GB2312" w:cs="仿宋_GB2312"/>
                <w:b/>
                <w:color w:val="auto"/>
                <w:kern w:val="0"/>
                <w:sz w:val="24"/>
                <w:szCs w:val="24"/>
                <w:highlight w:val="none"/>
              </w:rPr>
            </w:pPr>
          </w:p>
        </w:tc>
        <w:tc>
          <w:tcPr>
            <w:tcW w:w="735" w:type="dxa"/>
            <w:tcBorders>
              <w:top w:val="single" w:color="auto" w:sz="4" w:space="0"/>
              <w:left w:val="nil"/>
              <w:bottom w:val="single" w:color="auto" w:sz="4" w:space="0"/>
              <w:right w:val="single" w:color="auto" w:sz="4" w:space="0"/>
            </w:tcBorders>
            <w:noWrap w:val="0"/>
            <w:vAlign w:val="center"/>
          </w:tcPr>
          <w:p>
            <w:pPr>
              <w:pStyle w:val="15"/>
              <w:keepNext w:val="0"/>
              <w:keepLines w:val="0"/>
              <w:suppressLineNumbers w:val="0"/>
              <w:spacing w:before="240" w:beforeAutospacing="0" w:after="0" w:afterAutospacing="0" w:line="240" w:lineRule="atLeast"/>
              <w:ind w:left="0" w:right="0"/>
              <w:jc w:val="center"/>
              <w:rPr>
                <w:rFonts w:hint="eastAsia" w:ascii="仿宋_GB2312" w:hAnsi="仿宋_GB2312" w:eastAsia="仿宋_GB2312" w:cs="仿宋_GB2312"/>
                <w:b/>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4"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4"/>
                <w:szCs w:val="24"/>
                <w:highlight w:val="none"/>
              </w:rPr>
            </w:pPr>
          </w:p>
        </w:tc>
        <w:tc>
          <w:tcPr>
            <w:tcW w:w="3969" w:type="dxa"/>
            <w:tcBorders>
              <w:top w:val="single" w:color="auto" w:sz="4" w:space="0"/>
              <w:left w:val="nil"/>
              <w:bottom w:val="single" w:color="auto" w:sz="4" w:space="0"/>
              <w:right w:val="single" w:color="auto" w:sz="4" w:space="0"/>
            </w:tcBorders>
            <w:noWrap w:val="0"/>
            <w:vAlign w:val="center"/>
          </w:tcPr>
          <w:p>
            <w:pPr>
              <w:pStyle w:val="15"/>
              <w:keepNext w:val="0"/>
              <w:keepLines w:val="0"/>
              <w:suppressLineNumbers w:val="0"/>
              <w:spacing w:before="0" w:beforeAutospacing="0" w:after="0" w:afterAutospacing="0" w:line="240" w:lineRule="atLeast"/>
              <w:ind w:left="0" w:right="0" w:firstLine="480" w:firstLineChars="200"/>
              <w:rPr>
                <w:rFonts w:hint="eastAsia" w:ascii="仿宋_GB2312" w:hAnsi="仿宋_GB2312" w:eastAsia="仿宋_GB2312" w:cs="仿宋_GB2312"/>
                <w:color w:val="auto"/>
                <w:kern w:val="0"/>
                <w:sz w:val="24"/>
                <w:szCs w:val="24"/>
                <w:highlight w:val="none"/>
              </w:rPr>
            </w:pPr>
          </w:p>
        </w:tc>
        <w:tc>
          <w:tcPr>
            <w:tcW w:w="3544" w:type="dxa"/>
            <w:tcBorders>
              <w:top w:val="single" w:color="auto" w:sz="4" w:space="0"/>
              <w:left w:val="nil"/>
              <w:bottom w:val="single" w:color="auto" w:sz="4" w:space="0"/>
              <w:right w:val="single" w:color="auto" w:sz="4" w:space="0"/>
            </w:tcBorders>
            <w:noWrap w:val="0"/>
            <w:vAlign w:val="center"/>
          </w:tcPr>
          <w:p>
            <w:pPr>
              <w:pStyle w:val="15"/>
              <w:keepNext w:val="0"/>
              <w:keepLines w:val="0"/>
              <w:suppressLineNumbers w:val="0"/>
              <w:spacing w:before="240" w:beforeAutospacing="0" w:after="0" w:afterAutospacing="0" w:line="240" w:lineRule="atLeast"/>
              <w:ind w:left="0" w:right="0"/>
              <w:jc w:val="center"/>
              <w:rPr>
                <w:rFonts w:hint="eastAsia" w:ascii="仿宋_GB2312" w:hAnsi="仿宋_GB2312" w:eastAsia="仿宋_GB2312" w:cs="仿宋_GB2312"/>
                <w:b/>
                <w:color w:val="auto"/>
                <w:kern w:val="0"/>
                <w:sz w:val="24"/>
                <w:szCs w:val="24"/>
                <w:highlight w:val="none"/>
              </w:rPr>
            </w:pPr>
          </w:p>
        </w:tc>
        <w:tc>
          <w:tcPr>
            <w:tcW w:w="735" w:type="dxa"/>
            <w:tcBorders>
              <w:top w:val="single" w:color="auto" w:sz="4" w:space="0"/>
              <w:left w:val="nil"/>
              <w:bottom w:val="single" w:color="auto" w:sz="4" w:space="0"/>
              <w:right w:val="single" w:color="auto" w:sz="4" w:space="0"/>
            </w:tcBorders>
            <w:noWrap w:val="0"/>
            <w:vAlign w:val="center"/>
          </w:tcPr>
          <w:p>
            <w:pPr>
              <w:pStyle w:val="15"/>
              <w:keepNext w:val="0"/>
              <w:keepLines w:val="0"/>
              <w:suppressLineNumbers w:val="0"/>
              <w:spacing w:before="240" w:beforeAutospacing="0" w:after="0" w:afterAutospacing="0" w:line="240" w:lineRule="atLeast"/>
              <w:ind w:left="0" w:right="0"/>
              <w:jc w:val="center"/>
              <w:rPr>
                <w:rFonts w:hint="eastAsia" w:ascii="仿宋_GB2312" w:hAnsi="仿宋_GB2312" w:eastAsia="仿宋_GB2312" w:cs="仿宋_GB2312"/>
                <w:b/>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4"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4"/>
                <w:szCs w:val="24"/>
                <w:highlight w:val="none"/>
              </w:rPr>
            </w:pPr>
          </w:p>
        </w:tc>
        <w:tc>
          <w:tcPr>
            <w:tcW w:w="3969"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rPr>
                <w:rFonts w:hint="eastAsia" w:ascii="仿宋_GB2312" w:hAnsi="仿宋_GB2312" w:eastAsia="仿宋_GB2312" w:cs="仿宋_GB2312"/>
                <w:color w:val="auto"/>
                <w:sz w:val="24"/>
                <w:szCs w:val="24"/>
                <w:highlight w:val="none"/>
              </w:rPr>
            </w:pPr>
          </w:p>
        </w:tc>
        <w:tc>
          <w:tcPr>
            <w:tcW w:w="3544" w:type="dxa"/>
            <w:tcBorders>
              <w:top w:val="single" w:color="auto" w:sz="4" w:space="0"/>
              <w:left w:val="nil"/>
              <w:bottom w:val="single" w:color="auto" w:sz="4" w:space="0"/>
              <w:right w:val="single" w:color="auto" w:sz="4" w:space="0"/>
            </w:tcBorders>
            <w:noWrap w:val="0"/>
            <w:vAlign w:val="center"/>
          </w:tcPr>
          <w:p>
            <w:pPr>
              <w:pStyle w:val="15"/>
              <w:keepNext w:val="0"/>
              <w:keepLines w:val="0"/>
              <w:suppressLineNumbers w:val="0"/>
              <w:spacing w:before="240" w:beforeAutospacing="0" w:after="0" w:afterAutospacing="0" w:line="240" w:lineRule="atLeast"/>
              <w:ind w:left="0" w:right="0"/>
              <w:jc w:val="center"/>
              <w:rPr>
                <w:rFonts w:hint="eastAsia" w:ascii="仿宋_GB2312" w:hAnsi="仿宋_GB2312" w:eastAsia="仿宋_GB2312" w:cs="仿宋_GB2312"/>
                <w:b/>
                <w:color w:val="auto"/>
                <w:kern w:val="0"/>
                <w:sz w:val="24"/>
                <w:szCs w:val="24"/>
                <w:highlight w:val="none"/>
              </w:rPr>
            </w:pPr>
          </w:p>
        </w:tc>
        <w:tc>
          <w:tcPr>
            <w:tcW w:w="735" w:type="dxa"/>
            <w:tcBorders>
              <w:top w:val="single" w:color="auto" w:sz="4" w:space="0"/>
              <w:left w:val="nil"/>
              <w:bottom w:val="single" w:color="auto" w:sz="4" w:space="0"/>
              <w:right w:val="single" w:color="auto" w:sz="4" w:space="0"/>
            </w:tcBorders>
            <w:noWrap w:val="0"/>
            <w:vAlign w:val="center"/>
          </w:tcPr>
          <w:p>
            <w:pPr>
              <w:pStyle w:val="15"/>
              <w:keepNext w:val="0"/>
              <w:keepLines w:val="0"/>
              <w:suppressLineNumbers w:val="0"/>
              <w:spacing w:before="240" w:beforeAutospacing="0" w:after="0" w:afterAutospacing="0" w:line="240" w:lineRule="atLeast"/>
              <w:ind w:left="0" w:right="0"/>
              <w:jc w:val="center"/>
              <w:rPr>
                <w:rFonts w:hint="eastAsia" w:ascii="仿宋_GB2312" w:hAnsi="仿宋_GB2312" w:eastAsia="仿宋_GB2312" w:cs="仿宋_GB2312"/>
                <w:b/>
                <w:color w:val="auto"/>
                <w:kern w:val="0"/>
                <w:sz w:val="24"/>
                <w:szCs w:val="24"/>
                <w:highlight w:val="none"/>
              </w:rPr>
            </w:pPr>
          </w:p>
        </w:tc>
      </w:tr>
    </w:tbl>
    <w:p>
      <w:pPr>
        <w:pStyle w:val="15"/>
        <w:spacing w:line="240" w:lineRule="atLeast"/>
        <w:rPr>
          <w:rFonts w:hint="eastAsia" w:ascii="仿宋_GB2312" w:hAnsi="仿宋_GB2312" w:eastAsia="仿宋_GB2312" w:cs="仿宋_GB2312"/>
          <w:b/>
          <w:color w:val="auto"/>
          <w:kern w:val="0"/>
          <w:sz w:val="20"/>
          <w:szCs w:val="20"/>
          <w:highlight w:val="none"/>
          <w:lang w:bidi="ar"/>
        </w:rPr>
      </w:pPr>
      <w:r>
        <w:rPr>
          <w:rFonts w:hint="eastAsia" w:ascii="仿宋_GB2312" w:hAnsi="仿宋_GB2312" w:eastAsia="仿宋_GB2312" w:cs="仿宋_GB2312"/>
          <w:b/>
          <w:color w:val="auto"/>
          <w:kern w:val="0"/>
          <w:sz w:val="20"/>
          <w:szCs w:val="20"/>
          <w:highlight w:val="none"/>
          <w:lang w:bidi="ar"/>
        </w:rPr>
        <w:t>注：</w:t>
      </w:r>
    </w:p>
    <w:p>
      <w:pPr>
        <w:pStyle w:val="15"/>
        <w:spacing w:line="240" w:lineRule="atLeast"/>
        <w:rPr>
          <w:rFonts w:hint="eastAsia" w:ascii="仿宋_GB2312" w:hAnsi="仿宋_GB2312" w:eastAsia="仿宋_GB2312" w:cs="仿宋_GB2312"/>
          <w:b/>
          <w:color w:val="auto"/>
          <w:kern w:val="0"/>
          <w:sz w:val="20"/>
          <w:szCs w:val="20"/>
          <w:highlight w:val="none"/>
        </w:rPr>
      </w:pPr>
      <w:r>
        <w:rPr>
          <w:rFonts w:hint="eastAsia" w:ascii="仿宋_GB2312" w:hAnsi="仿宋_GB2312" w:eastAsia="仿宋_GB2312" w:cs="仿宋_GB2312"/>
          <w:b/>
          <w:color w:val="auto"/>
          <w:kern w:val="0"/>
          <w:sz w:val="20"/>
          <w:szCs w:val="20"/>
          <w:highlight w:val="none"/>
          <w:lang w:bidi="ar"/>
        </w:rPr>
        <w:t>根据第二章 项目服务要求的商务条款填写：</w:t>
      </w:r>
    </w:p>
    <w:p>
      <w:pPr>
        <w:pStyle w:val="15"/>
        <w:spacing w:line="240" w:lineRule="atLeast"/>
        <w:ind w:left="420"/>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bCs/>
          <w:color w:val="auto"/>
          <w:kern w:val="0"/>
          <w:sz w:val="20"/>
          <w:szCs w:val="20"/>
          <w:highlight w:val="none"/>
          <w:lang w:bidi="ar"/>
        </w:rPr>
        <w:t>1、商务条款响应内容与竞标要求相同的为无偏离，商务条款响应内容高于竞标要求的为正偏离，低于竞标要求的为负偏离。</w:t>
      </w:r>
    </w:p>
    <w:p>
      <w:pPr>
        <w:pStyle w:val="15"/>
        <w:spacing w:line="240" w:lineRule="atLeast"/>
        <w:ind w:left="420"/>
        <w:rPr>
          <w:rFonts w:hint="eastAsia" w:ascii="仿宋_GB2312" w:hAnsi="仿宋_GB2312" w:eastAsia="仿宋_GB2312" w:cs="仿宋_GB2312"/>
          <w:bCs/>
          <w:color w:val="auto"/>
          <w:kern w:val="0"/>
          <w:sz w:val="20"/>
          <w:szCs w:val="20"/>
          <w:highlight w:val="none"/>
        </w:rPr>
      </w:pPr>
      <w:r>
        <w:rPr>
          <w:rFonts w:hint="eastAsia" w:ascii="仿宋_GB2312" w:hAnsi="仿宋_GB2312" w:eastAsia="仿宋_GB2312" w:cs="仿宋_GB2312"/>
          <w:bCs/>
          <w:color w:val="auto"/>
          <w:kern w:val="0"/>
          <w:sz w:val="20"/>
          <w:szCs w:val="20"/>
          <w:highlight w:val="none"/>
          <w:lang w:bidi="ar"/>
        </w:rPr>
        <w:t>2、</w:t>
      </w:r>
      <w:r>
        <w:rPr>
          <w:rFonts w:hint="eastAsia" w:ascii="仿宋_GB2312" w:hAnsi="仿宋_GB2312" w:eastAsia="仿宋_GB2312" w:cs="仿宋_GB2312"/>
          <w:color w:val="auto"/>
          <w:kern w:val="0"/>
          <w:sz w:val="20"/>
          <w:szCs w:val="20"/>
          <w:highlight w:val="none"/>
          <w:lang w:bidi="ar"/>
        </w:rPr>
        <w:t>供应商应根据自身情况对照采购文件文件要求在“偏离情况”栏注明“正偏离”、“负偏离”或“无偏离”。</w:t>
      </w:r>
    </w:p>
    <w:p>
      <w:pPr>
        <w:outlineLvl w:val="0"/>
        <w:rPr>
          <w:rFonts w:hint="eastAsia" w:cs="Angsana New"/>
          <w:color w:val="auto"/>
          <w:kern w:val="0"/>
          <w:sz w:val="30"/>
          <w:szCs w:val="30"/>
          <w:highlight w:val="none"/>
          <w:lang w:bidi="ar"/>
        </w:rPr>
      </w:pPr>
      <w:r>
        <w:rPr>
          <w:color w:val="auto"/>
          <w:highlight w:val="none"/>
          <w:lang w:bidi="ar"/>
        </w:rPr>
        <w:br w:type="page"/>
      </w:r>
      <w:bookmarkStart w:id="41" w:name="_Toc18163"/>
      <w:r>
        <w:rPr>
          <w:rFonts w:hint="eastAsia" w:cs="Angsana New"/>
          <w:b/>
          <w:color w:val="auto"/>
          <w:kern w:val="0"/>
          <w:sz w:val="30"/>
          <w:szCs w:val="30"/>
          <w:highlight w:val="none"/>
          <w:lang w:bidi="ar"/>
        </w:rPr>
        <w:t>附件4</w:t>
      </w:r>
      <w:bookmarkEnd w:id="41"/>
    </w:p>
    <w:p>
      <w:pPr>
        <w:pStyle w:val="15"/>
        <w:spacing w:line="440" w:lineRule="exact"/>
        <w:ind w:firstLine="602" w:firstLineChars="200"/>
        <w:jc w:val="center"/>
        <w:rPr>
          <w:rFonts w:hint="eastAsia" w:cs="Angsana New"/>
          <w:b/>
          <w:color w:val="auto"/>
          <w:kern w:val="0"/>
          <w:sz w:val="30"/>
          <w:szCs w:val="30"/>
          <w:highlight w:val="none"/>
        </w:rPr>
      </w:pPr>
      <w:r>
        <w:rPr>
          <w:rFonts w:hint="eastAsia"/>
          <w:b/>
          <w:color w:val="auto"/>
          <w:kern w:val="0"/>
          <w:sz w:val="30"/>
          <w:szCs w:val="30"/>
          <w:highlight w:val="none"/>
          <w:lang w:bidi="ar"/>
        </w:rPr>
        <w:t>供应商认为必要提供的相关证明材料</w:t>
      </w:r>
    </w:p>
    <w:p>
      <w:pPr>
        <w:pStyle w:val="15"/>
        <w:spacing w:before="240"/>
        <w:jc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（由供应商根据项目要求、评定成交的标准及自身情况自行编写）</w:t>
      </w:r>
    </w:p>
    <w:p>
      <w:pPr>
        <w:pStyle w:val="34"/>
        <w:rPr>
          <w:rFonts w:ascii="宋体"/>
          <w:b/>
          <w:bCs/>
          <w:caps/>
          <w:color w:val="auto"/>
          <w:highlight w:val="none"/>
        </w:rPr>
      </w:pPr>
    </w:p>
    <w:p>
      <w:pPr>
        <w:pStyle w:val="34"/>
        <w:rPr>
          <w:rFonts w:ascii="宋体"/>
          <w:b/>
          <w:bCs/>
          <w:caps/>
          <w:color w:val="auto"/>
          <w:highlight w:val="none"/>
        </w:rPr>
      </w:pPr>
    </w:p>
    <w:p>
      <w:pPr>
        <w:pStyle w:val="34"/>
        <w:rPr>
          <w:rFonts w:ascii="宋体"/>
          <w:b/>
          <w:bCs/>
          <w:caps/>
          <w:color w:val="auto"/>
          <w:highlight w:val="none"/>
        </w:rPr>
      </w:pPr>
    </w:p>
    <w:p>
      <w:pPr>
        <w:pStyle w:val="34"/>
        <w:rPr>
          <w:rFonts w:ascii="宋体"/>
          <w:b/>
          <w:bCs/>
          <w:caps/>
          <w:color w:val="auto"/>
          <w:highlight w:val="none"/>
        </w:rPr>
      </w:pPr>
    </w:p>
    <w:p>
      <w:pPr>
        <w:pStyle w:val="34"/>
        <w:rPr>
          <w:rFonts w:ascii="宋体"/>
          <w:b/>
          <w:bCs/>
          <w:caps/>
          <w:color w:val="auto"/>
          <w:highlight w:val="none"/>
        </w:rPr>
      </w:pPr>
    </w:p>
    <w:p>
      <w:pPr>
        <w:pStyle w:val="34"/>
        <w:rPr>
          <w:rFonts w:ascii="宋体"/>
          <w:b/>
          <w:bCs/>
          <w:caps/>
          <w:color w:val="auto"/>
          <w:highlight w:val="none"/>
        </w:rPr>
      </w:pPr>
    </w:p>
    <w:p>
      <w:pPr>
        <w:pStyle w:val="34"/>
        <w:rPr>
          <w:rFonts w:ascii="宋体"/>
          <w:b/>
          <w:bCs/>
          <w:caps/>
          <w:color w:val="auto"/>
          <w:highlight w:val="none"/>
        </w:rPr>
      </w:pPr>
    </w:p>
    <w:p>
      <w:pPr>
        <w:pStyle w:val="34"/>
        <w:rPr>
          <w:rFonts w:ascii="宋体"/>
          <w:b/>
          <w:bCs/>
          <w:caps/>
          <w:color w:val="auto"/>
          <w:highlight w:val="none"/>
        </w:rPr>
      </w:pPr>
    </w:p>
    <w:p>
      <w:pPr>
        <w:pStyle w:val="34"/>
        <w:rPr>
          <w:rFonts w:ascii="宋体"/>
          <w:b/>
          <w:bCs/>
          <w:caps/>
          <w:color w:val="auto"/>
          <w:highlight w:val="none"/>
        </w:rPr>
      </w:pPr>
    </w:p>
    <w:p>
      <w:pPr>
        <w:pStyle w:val="34"/>
        <w:rPr>
          <w:rFonts w:ascii="宋体"/>
          <w:b/>
          <w:bCs/>
          <w:caps/>
          <w:color w:val="auto"/>
          <w:highlight w:val="none"/>
        </w:rPr>
      </w:pPr>
    </w:p>
    <w:p>
      <w:pPr>
        <w:pStyle w:val="34"/>
        <w:rPr>
          <w:rFonts w:ascii="宋体"/>
          <w:b/>
          <w:bCs/>
          <w:caps/>
          <w:color w:val="auto"/>
          <w:highlight w:val="none"/>
        </w:rPr>
      </w:pPr>
    </w:p>
    <w:p>
      <w:pPr>
        <w:pStyle w:val="34"/>
        <w:rPr>
          <w:rFonts w:ascii="宋体"/>
          <w:b/>
          <w:bCs/>
          <w:caps/>
          <w:color w:val="auto"/>
          <w:highlight w:val="none"/>
        </w:rPr>
      </w:pPr>
    </w:p>
    <w:p>
      <w:pPr>
        <w:pStyle w:val="34"/>
        <w:rPr>
          <w:rFonts w:ascii="宋体"/>
          <w:b/>
          <w:bCs/>
          <w:caps/>
          <w:color w:val="auto"/>
          <w:highlight w:val="none"/>
        </w:rPr>
      </w:pPr>
    </w:p>
    <w:p>
      <w:pPr>
        <w:pStyle w:val="34"/>
        <w:rPr>
          <w:rFonts w:ascii="宋体"/>
          <w:b/>
          <w:bCs/>
          <w:caps/>
          <w:color w:val="auto"/>
          <w:highlight w:val="none"/>
        </w:rPr>
      </w:pPr>
    </w:p>
    <w:p>
      <w:pPr>
        <w:pStyle w:val="34"/>
        <w:rPr>
          <w:rFonts w:ascii="宋体"/>
          <w:b/>
          <w:bCs/>
          <w:caps/>
          <w:color w:val="auto"/>
          <w:highlight w:val="none"/>
        </w:rPr>
      </w:pPr>
    </w:p>
    <w:p>
      <w:pPr>
        <w:pStyle w:val="34"/>
        <w:rPr>
          <w:rFonts w:ascii="宋体"/>
          <w:b/>
          <w:bCs/>
          <w:caps/>
          <w:color w:val="auto"/>
          <w:highlight w:val="none"/>
        </w:rPr>
      </w:pPr>
    </w:p>
    <w:p>
      <w:pPr>
        <w:pStyle w:val="34"/>
        <w:rPr>
          <w:rFonts w:ascii="宋体"/>
          <w:b/>
          <w:bCs/>
          <w:caps/>
          <w:color w:val="auto"/>
          <w:highlight w:val="none"/>
        </w:rPr>
      </w:pPr>
    </w:p>
    <w:p>
      <w:pPr>
        <w:pStyle w:val="34"/>
        <w:rPr>
          <w:rFonts w:ascii="宋体"/>
          <w:b/>
          <w:bCs/>
          <w:caps/>
          <w:color w:val="auto"/>
          <w:highlight w:val="none"/>
        </w:rPr>
      </w:pPr>
    </w:p>
    <w:p>
      <w:pPr>
        <w:pStyle w:val="34"/>
        <w:rPr>
          <w:rFonts w:ascii="宋体"/>
          <w:b/>
          <w:bCs/>
          <w:caps/>
          <w:color w:val="auto"/>
          <w:highlight w:val="none"/>
        </w:rPr>
      </w:pPr>
    </w:p>
    <w:p>
      <w:pPr>
        <w:pStyle w:val="34"/>
        <w:rPr>
          <w:rFonts w:ascii="宋体"/>
          <w:b/>
          <w:bCs/>
          <w:caps/>
          <w:color w:val="auto"/>
          <w:highlight w:val="none"/>
        </w:rPr>
      </w:pPr>
    </w:p>
    <w:p>
      <w:pPr>
        <w:pStyle w:val="34"/>
        <w:rPr>
          <w:rFonts w:ascii="宋体"/>
          <w:b/>
          <w:bCs/>
          <w:caps/>
          <w:color w:val="auto"/>
          <w:highlight w:val="none"/>
        </w:rPr>
      </w:pPr>
    </w:p>
    <w:p>
      <w:pPr>
        <w:pStyle w:val="34"/>
        <w:rPr>
          <w:rFonts w:ascii="宋体"/>
          <w:b/>
          <w:bCs/>
          <w:caps/>
          <w:color w:val="auto"/>
          <w:highlight w:val="none"/>
        </w:rPr>
      </w:pPr>
    </w:p>
    <w:p>
      <w:pPr>
        <w:pStyle w:val="34"/>
        <w:rPr>
          <w:rFonts w:ascii="宋体"/>
          <w:b/>
          <w:bCs/>
          <w:caps/>
          <w:color w:val="auto"/>
          <w:highlight w:val="none"/>
        </w:rPr>
      </w:pPr>
    </w:p>
    <w:p>
      <w:pPr>
        <w:pStyle w:val="34"/>
        <w:rPr>
          <w:rFonts w:ascii="宋体"/>
          <w:b/>
          <w:bCs/>
          <w:caps/>
          <w:color w:val="auto"/>
          <w:highlight w:val="none"/>
        </w:rPr>
      </w:pPr>
    </w:p>
    <w:p>
      <w:pPr>
        <w:pStyle w:val="34"/>
        <w:rPr>
          <w:rFonts w:ascii="宋体"/>
          <w:b/>
          <w:bCs/>
          <w:caps/>
          <w:color w:val="auto"/>
          <w:highlight w:val="none"/>
        </w:rPr>
      </w:pPr>
    </w:p>
    <w:p>
      <w:pPr>
        <w:pStyle w:val="34"/>
        <w:rPr>
          <w:rFonts w:ascii="宋体"/>
          <w:b/>
          <w:bCs/>
          <w:caps/>
          <w:color w:val="auto"/>
          <w:highlight w:val="none"/>
        </w:rPr>
      </w:pPr>
    </w:p>
    <w:p>
      <w:pPr>
        <w:pStyle w:val="34"/>
        <w:rPr>
          <w:rFonts w:ascii="宋体"/>
          <w:b/>
          <w:bCs/>
          <w:caps/>
          <w:color w:val="auto"/>
          <w:highlight w:val="none"/>
        </w:rPr>
      </w:pPr>
    </w:p>
    <w:p>
      <w:pPr>
        <w:pStyle w:val="34"/>
        <w:rPr>
          <w:rFonts w:ascii="宋体"/>
          <w:b/>
          <w:bCs/>
          <w:caps/>
          <w:color w:val="auto"/>
          <w:highlight w:val="none"/>
        </w:rPr>
      </w:pPr>
    </w:p>
    <w:p>
      <w:pPr>
        <w:pStyle w:val="34"/>
        <w:rPr>
          <w:rFonts w:ascii="宋体"/>
          <w:b/>
          <w:bCs/>
          <w:caps/>
          <w:color w:val="auto"/>
          <w:highlight w:val="none"/>
        </w:rPr>
      </w:pPr>
    </w:p>
    <w:p>
      <w:pPr>
        <w:pStyle w:val="34"/>
        <w:rPr>
          <w:rFonts w:ascii="宋体"/>
          <w:b/>
          <w:bCs/>
          <w:caps/>
          <w:color w:val="auto"/>
          <w:highlight w:val="none"/>
        </w:rPr>
      </w:pPr>
    </w:p>
    <w:p>
      <w:pPr>
        <w:pStyle w:val="34"/>
        <w:rPr>
          <w:rFonts w:ascii="宋体"/>
          <w:b/>
          <w:bCs/>
          <w:caps/>
          <w:color w:val="auto"/>
          <w:highlight w:val="none"/>
        </w:rPr>
      </w:pPr>
    </w:p>
    <w:p>
      <w:pPr>
        <w:pStyle w:val="34"/>
        <w:rPr>
          <w:rFonts w:ascii="宋体"/>
          <w:b/>
          <w:bCs/>
          <w:caps/>
          <w:color w:val="auto"/>
          <w:highlight w:val="none"/>
        </w:rPr>
      </w:pPr>
    </w:p>
    <w:p>
      <w:pPr>
        <w:pStyle w:val="34"/>
        <w:rPr>
          <w:rFonts w:ascii="宋体"/>
          <w:b/>
          <w:bCs/>
          <w:caps/>
          <w:color w:val="auto"/>
          <w:highlight w:val="none"/>
        </w:rPr>
      </w:pPr>
    </w:p>
    <w:p>
      <w:pPr>
        <w:pStyle w:val="34"/>
        <w:rPr>
          <w:rFonts w:ascii="宋体"/>
          <w:b/>
          <w:bCs/>
          <w:caps/>
          <w:color w:val="auto"/>
          <w:highlight w:val="none"/>
        </w:rPr>
      </w:pPr>
    </w:p>
    <w:p>
      <w:pPr>
        <w:pStyle w:val="34"/>
        <w:rPr>
          <w:rFonts w:ascii="宋体"/>
          <w:b/>
          <w:bCs/>
          <w:caps/>
          <w:color w:val="auto"/>
          <w:highlight w:val="none"/>
        </w:rPr>
      </w:pPr>
    </w:p>
    <w:p>
      <w:pPr>
        <w:pStyle w:val="34"/>
        <w:rPr>
          <w:rFonts w:ascii="宋体"/>
          <w:b/>
          <w:bCs/>
          <w:caps/>
          <w:color w:val="auto"/>
          <w:highlight w:val="none"/>
        </w:rPr>
      </w:pPr>
    </w:p>
    <w:p>
      <w:pPr>
        <w:pStyle w:val="34"/>
        <w:rPr>
          <w:rFonts w:ascii="宋体"/>
          <w:b/>
          <w:bCs/>
          <w:caps/>
          <w:color w:val="auto"/>
          <w:highlight w:val="none"/>
        </w:rPr>
      </w:pPr>
    </w:p>
    <w:p>
      <w:pPr>
        <w:pStyle w:val="34"/>
        <w:rPr>
          <w:rFonts w:ascii="宋体"/>
          <w:b/>
          <w:bCs/>
          <w:caps/>
          <w:color w:val="auto"/>
          <w:highlight w:val="none"/>
        </w:rPr>
      </w:pPr>
    </w:p>
    <w:p>
      <w:pPr>
        <w:pStyle w:val="34"/>
        <w:rPr>
          <w:rFonts w:ascii="宋体"/>
          <w:b/>
          <w:bCs/>
          <w:caps/>
          <w:color w:val="auto"/>
          <w:highlight w:val="none"/>
        </w:rPr>
      </w:pPr>
    </w:p>
    <w:p>
      <w:pPr>
        <w:numPr>
          <w:ilvl w:val="0"/>
          <w:numId w:val="2"/>
        </w:numPr>
        <w:spacing w:line="540" w:lineRule="exact"/>
        <w:jc w:val="center"/>
        <w:rPr>
          <w:rFonts w:hint="eastAsia" w:ascii="宋体" w:hAnsi="宋体" w:cs="宋体"/>
          <w:b/>
          <w:color w:val="auto"/>
          <w:sz w:val="32"/>
          <w:szCs w:val="32"/>
          <w:highlight w:val="none"/>
          <w:lang w:bidi="ar"/>
        </w:rPr>
      </w:pPr>
      <w:r>
        <w:rPr>
          <w:rFonts w:hint="eastAsia" w:ascii="宋体" w:hAnsi="宋体" w:cs="宋体"/>
          <w:b/>
          <w:color w:val="auto"/>
          <w:sz w:val="32"/>
          <w:szCs w:val="32"/>
          <w:highlight w:val="none"/>
          <w:lang w:bidi="ar"/>
        </w:rPr>
        <w:t>供应商资格及其竞标服务的证明文件</w:t>
      </w:r>
    </w:p>
    <w:p>
      <w:pPr>
        <w:pStyle w:val="34"/>
        <w:rPr>
          <w:color w:val="auto"/>
          <w:highlight w:val="none"/>
        </w:rPr>
      </w:pPr>
    </w:p>
    <w:p>
      <w:pPr>
        <w:spacing w:line="540" w:lineRule="exact"/>
        <w:jc w:val="center"/>
        <w:rPr>
          <w:rFonts w:hint="eastAsia" w:cs="宋体"/>
          <w:b/>
          <w:color w:val="auto"/>
          <w:sz w:val="30"/>
          <w:szCs w:val="30"/>
          <w:highlight w:val="none"/>
        </w:rPr>
      </w:pPr>
      <w:r>
        <w:rPr>
          <w:rFonts w:hint="eastAsia" w:ascii="宋体" w:hAnsi="宋体" w:cs="宋体"/>
          <w:b/>
          <w:color w:val="auto"/>
          <w:sz w:val="30"/>
          <w:szCs w:val="30"/>
          <w:highlight w:val="none"/>
          <w:lang w:bidi="ar"/>
        </w:rPr>
        <w:t>供应商资格证明文件格式</w:t>
      </w:r>
    </w:p>
    <w:p>
      <w:pPr>
        <w:outlineLvl w:val="0"/>
        <w:rPr>
          <w:rFonts w:hint="eastAsia" w:cs="Angsana New"/>
          <w:b/>
          <w:color w:val="auto"/>
          <w:kern w:val="0"/>
          <w:sz w:val="30"/>
          <w:szCs w:val="30"/>
          <w:highlight w:val="none"/>
          <w:lang w:bidi="ar"/>
        </w:rPr>
      </w:pPr>
      <w:r>
        <w:rPr>
          <w:rFonts w:hint="eastAsia" w:ascii="宋体" w:hAnsi="宋体" w:cs="宋体"/>
          <w:b/>
          <w:color w:val="auto"/>
          <w:kern w:val="0"/>
          <w:sz w:val="20"/>
          <w:szCs w:val="20"/>
          <w:highlight w:val="none"/>
          <w:lang w:bidi="ar"/>
        </w:rPr>
        <w:br w:type="page"/>
      </w:r>
      <w:bookmarkStart w:id="42" w:name="_Toc6878"/>
      <w:r>
        <w:rPr>
          <w:rFonts w:hint="eastAsia" w:cs="Angsana New"/>
          <w:b/>
          <w:color w:val="auto"/>
          <w:kern w:val="0"/>
          <w:sz w:val="30"/>
          <w:szCs w:val="30"/>
          <w:highlight w:val="none"/>
          <w:lang w:bidi="ar"/>
        </w:rPr>
        <w:t>附件5</w:t>
      </w:r>
      <w:bookmarkEnd w:id="42"/>
    </w:p>
    <w:p>
      <w:pPr>
        <w:spacing w:before="312" w:beforeLines="100" w:after="156" w:afterLines="50" w:line="520" w:lineRule="exact"/>
        <w:ind w:left="540"/>
        <w:jc w:val="center"/>
        <w:rPr>
          <w:rFonts w:hint="eastAsia" w:ascii="宋体" w:hAnsi="宋体" w:cs="宋体"/>
          <w:b/>
          <w:color w:val="auto"/>
          <w:kern w:val="0"/>
          <w:sz w:val="44"/>
          <w:szCs w:val="44"/>
          <w:highlight w:val="none"/>
          <w:lang w:bidi="ar"/>
        </w:rPr>
      </w:pPr>
      <w:r>
        <w:rPr>
          <w:rFonts w:hint="eastAsia" w:ascii="宋体" w:hAnsi="宋体" w:cs="宋体"/>
          <w:b/>
          <w:color w:val="auto"/>
          <w:kern w:val="0"/>
          <w:sz w:val="44"/>
          <w:szCs w:val="44"/>
          <w:highlight w:val="none"/>
          <w:lang w:bidi="ar"/>
        </w:rPr>
        <w:t>法定代表人（负责人）证明书</w:t>
      </w:r>
    </w:p>
    <w:p>
      <w:pPr>
        <w:spacing w:line="520" w:lineRule="exact"/>
        <w:ind w:left="540"/>
        <w:rPr>
          <w:rFonts w:ascii="仿宋_GB2312" w:hAnsi="仿宋_GB2312" w:eastAsia="仿宋_GB2312" w:cs="仿宋_GB2312"/>
          <w:color w:val="auto"/>
          <w:sz w:val="32"/>
          <w:szCs w:val="32"/>
          <w:highlight w:val="none"/>
        </w:rPr>
      </w:pPr>
    </w:p>
    <w:p>
      <w:pPr>
        <w:spacing w:line="520" w:lineRule="exact"/>
        <w:ind w:left="5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供应商名称：</w:t>
      </w:r>
    </w:p>
    <w:p>
      <w:pPr>
        <w:spacing w:line="520" w:lineRule="exact"/>
        <w:ind w:left="5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地    址：</w:t>
      </w:r>
    </w:p>
    <w:p>
      <w:pPr>
        <w:spacing w:line="520" w:lineRule="exact"/>
        <w:ind w:left="5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成立时间： 年 月 日</w:t>
      </w:r>
    </w:p>
    <w:p>
      <w:pPr>
        <w:spacing w:line="520" w:lineRule="exact"/>
        <w:ind w:left="5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经营期限：</w:t>
      </w:r>
    </w:p>
    <w:p>
      <w:pPr>
        <w:spacing w:line="520" w:lineRule="exact"/>
        <w:ind w:left="5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姓    名：性     别：</w:t>
      </w:r>
    </w:p>
    <w:p>
      <w:pPr>
        <w:spacing w:line="520" w:lineRule="exact"/>
        <w:ind w:left="540"/>
        <w:rPr>
          <w:rFonts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rPr>
        <w:t>年    龄：职     务：</w:t>
      </w:r>
    </w:p>
    <w:p>
      <w:pPr>
        <w:spacing w:line="520" w:lineRule="exact"/>
        <w:ind w:left="5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身份证号码：</w:t>
      </w:r>
    </w:p>
    <w:p>
      <w:pPr>
        <w:spacing w:line="520" w:lineRule="exact"/>
        <w:ind w:left="5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系（供应商名称）的法定代表人（负责人）。</w:t>
      </w:r>
    </w:p>
    <w:p>
      <w:pPr>
        <w:spacing w:line="520" w:lineRule="exact"/>
        <w:ind w:left="5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特此证明。</w:t>
      </w:r>
    </w:p>
    <w:p>
      <w:pPr>
        <w:spacing w:line="520" w:lineRule="exact"/>
        <w:ind w:left="540"/>
        <w:rPr>
          <w:rFonts w:ascii="仿宋_GB2312" w:hAnsi="仿宋_GB2312" w:eastAsia="仿宋_GB2312" w:cs="仿宋_GB2312"/>
          <w:color w:val="auto"/>
          <w:sz w:val="32"/>
          <w:szCs w:val="32"/>
          <w:highlight w:val="none"/>
        </w:rPr>
      </w:pPr>
    </w:p>
    <w:p>
      <w:pPr>
        <w:spacing w:line="520" w:lineRule="exact"/>
        <w:ind w:left="540"/>
        <w:rPr>
          <w:rFonts w:ascii="仿宋_GB2312" w:hAnsi="仿宋_GB2312" w:eastAsia="仿宋_GB2312" w:cs="仿宋_GB2312"/>
          <w:color w:val="auto"/>
          <w:sz w:val="32"/>
          <w:szCs w:val="32"/>
          <w:highlight w:val="none"/>
        </w:rPr>
      </w:pPr>
    </w:p>
    <w:p>
      <w:pPr>
        <w:spacing w:line="520" w:lineRule="exact"/>
        <w:ind w:left="5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附件：法定代表人（负责人）有效身份证正反面复印件</w:t>
      </w:r>
    </w:p>
    <w:p>
      <w:pPr>
        <w:spacing w:line="520" w:lineRule="exact"/>
        <w:ind w:left="540"/>
        <w:rPr>
          <w:rFonts w:ascii="仿宋_GB2312" w:hAnsi="仿宋_GB2312" w:eastAsia="仿宋_GB2312" w:cs="仿宋_GB2312"/>
          <w:color w:val="auto"/>
          <w:sz w:val="32"/>
          <w:szCs w:val="32"/>
          <w:highlight w:val="none"/>
        </w:rPr>
      </w:pPr>
    </w:p>
    <w:p>
      <w:pPr>
        <w:wordWrap w:val="0"/>
        <w:spacing w:line="520" w:lineRule="exact"/>
        <w:ind w:left="540"/>
        <w:jc w:val="righ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供应商（盖公章）：</w:t>
      </w:r>
    </w:p>
    <w:p>
      <w:pPr>
        <w:snapToGrid w:val="0"/>
        <w:spacing w:before="156" w:beforeLines="50" w:after="50" w:line="520" w:lineRule="exact"/>
        <w:ind w:firstLine="7040" w:firstLineChars="2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年月日</w:t>
      </w:r>
    </w:p>
    <w:p>
      <w:pPr>
        <w:snapToGrid w:val="0"/>
        <w:spacing w:before="156" w:beforeLines="50" w:after="50" w:line="360" w:lineRule="exact"/>
        <w:jc w:val="left"/>
        <w:rPr>
          <w:rFonts w:ascii="仿宋_GB2312" w:hAnsi="仿宋_GB2312" w:eastAsia="仿宋_GB2312" w:cs="仿宋_GB2312"/>
          <w:color w:val="auto"/>
          <w:szCs w:val="21"/>
          <w:highlight w:val="none"/>
        </w:rPr>
      </w:pPr>
    </w:p>
    <w:p>
      <w:pPr>
        <w:snapToGrid w:val="0"/>
        <w:spacing w:before="156" w:beforeLines="50" w:after="50" w:line="360" w:lineRule="exact"/>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注：1</w:t>
      </w:r>
      <w:r>
        <w:rPr>
          <w:rFonts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rPr>
        <w:t>自然人竞标的无需提供，联合体竞标的只需牵头人出具。</w:t>
      </w:r>
    </w:p>
    <w:p>
      <w:pPr>
        <w:snapToGrid w:val="0"/>
        <w:spacing w:before="156" w:beforeLines="50" w:after="50" w:line="360" w:lineRule="exact"/>
        <w:ind w:firstLine="480" w:firstLineChars="200"/>
        <w:jc w:val="left"/>
        <w:rPr>
          <w:rFonts w:ascii="宋体" w:hAnsi="宋体"/>
          <w:b/>
          <w:color w:val="auto"/>
          <w:sz w:val="24"/>
          <w:highlight w:val="none"/>
        </w:rPr>
      </w:pPr>
      <w:r>
        <w:rPr>
          <w:rFonts w:hint="eastAsia" w:ascii="仿宋_GB2312" w:hAnsi="仿宋_GB2312" w:eastAsia="仿宋_GB2312" w:cs="仿宋_GB2312"/>
          <w:color w:val="auto"/>
          <w:sz w:val="24"/>
          <w:highlight w:val="none"/>
        </w:rPr>
        <w:t>2</w:t>
      </w:r>
      <w:r>
        <w:rPr>
          <w:rFonts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rPr>
        <w:t>供应商为其他组织或自然人时，本竞争性磋商文件所称负责人是指参加竞标的其他组织营业执照上的负责人，本竞争性磋商文件所称自然人指参与竞标的自然人本人。</w:t>
      </w:r>
    </w:p>
    <w:p>
      <w:pPr>
        <w:spacing w:line="500" w:lineRule="exact"/>
        <w:rPr>
          <w:rFonts w:hint="eastAsia"/>
          <w:color w:val="auto"/>
          <w:highlight w:val="none"/>
        </w:rPr>
        <w:sectPr>
          <w:footerReference r:id="rId17" w:type="default"/>
          <w:pgSz w:w="11906" w:h="16838"/>
          <w:pgMar w:top="1418" w:right="1418" w:bottom="1418" w:left="1418" w:header="851" w:footer="992" w:gutter="0"/>
          <w:pgNumType w:fmt="decimal"/>
          <w:cols w:space="720" w:num="1"/>
          <w:docGrid w:type="lines" w:linePitch="312" w:charSpace="0"/>
        </w:sectPr>
      </w:pPr>
    </w:p>
    <w:p>
      <w:pPr>
        <w:outlineLvl w:val="0"/>
        <w:rPr>
          <w:rFonts w:cs="Angsana New"/>
          <w:b/>
          <w:color w:val="auto"/>
          <w:kern w:val="0"/>
          <w:sz w:val="30"/>
          <w:szCs w:val="30"/>
          <w:highlight w:val="none"/>
        </w:rPr>
      </w:pPr>
      <w:bookmarkStart w:id="43" w:name="_Toc24938"/>
      <w:r>
        <w:rPr>
          <w:rFonts w:hint="eastAsia" w:cs="Angsana New"/>
          <w:b/>
          <w:color w:val="auto"/>
          <w:kern w:val="0"/>
          <w:sz w:val="30"/>
          <w:szCs w:val="30"/>
          <w:highlight w:val="none"/>
          <w:lang w:bidi="ar"/>
        </w:rPr>
        <w:t>附件</w:t>
      </w:r>
      <w:r>
        <w:rPr>
          <w:rFonts w:cs="Angsana New"/>
          <w:b/>
          <w:color w:val="auto"/>
          <w:kern w:val="0"/>
          <w:sz w:val="30"/>
          <w:szCs w:val="30"/>
          <w:highlight w:val="none"/>
          <w:lang w:bidi="ar"/>
        </w:rPr>
        <w:t>6</w:t>
      </w:r>
      <w:bookmarkEnd w:id="43"/>
    </w:p>
    <w:p>
      <w:pPr>
        <w:pStyle w:val="15"/>
        <w:spacing w:line="560" w:lineRule="exact"/>
        <w:jc w:val="center"/>
        <w:rPr>
          <w:rFonts w:hint="eastAsia" w:ascii="宋体" w:hAnsi="宋体" w:cs="宋体"/>
          <w:b/>
          <w:color w:val="auto"/>
          <w:kern w:val="0"/>
          <w:sz w:val="44"/>
          <w:szCs w:val="44"/>
          <w:highlight w:val="none"/>
          <w:lang w:bidi="ar"/>
        </w:rPr>
      </w:pPr>
    </w:p>
    <w:p>
      <w:pPr>
        <w:pStyle w:val="15"/>
        <w:spacing w:line="560" w:lineRule="exact"/>
        <w:jc w:val="center"/>
        <w:rPr>
          <w:rFonts w:hint="eastAsia" w:ascii="宋体" w:hAnsi="宋体" w:cs="宋体"/>
          <w:b/>
          <w:color w:val="auto"/>
          <w:kern w:val="0"/>
          <w:sz w:val="44"/>
          <w:szCs w:val="44"/>
          <w:highlight w:val="none"/>
          <w:lang w:bidi="ar"/>
        </w:rPr>
      </w:pPr>
      <w:r>
        <w:rPr>
          <w:rFonts w:hint="eastAsia" w:ascii="宋体" w:hAnsi="宋体" w:cs="宋体"/>
          <w:b/>
          <w:color w:val="auto"/>
          <w:kern w:val="0"/>
          <w:sz w:val="44"/>
          <w:szCs w:val="44"/>
          <w:highlight w:val="none"/>
          <w:lang w:bidi="ar"/>
        </w:rPr>
        <w:t>法定代表人（负责人）授权委托书格式</w:t>
      </w:r>
    </w:p>
    <w:p>
      <w:pPr>
        <w:pStyle w:val="15"/>
        <w:spacing w:line="560" w:lineRule="exact"/>
        <w:jc w:val="center"/>
        <w:rPr>
          <w:rFonts w:hint="eastAsia" w:ascii="宋体" w:hAnsi="宋体" w:cs="宋体"/>
          <w:b/>
          <w:color w:val="auto"/>
          <w:kern w:val="0"/>
          <w:sz w:val="44"/>
          <w:szCs w:val="44"/>
          <w:highlight w:val="none"/>
          <w:lang w:bidi="ar"/>
        </w:rPr>
      </w:pPr>
    </w:p>
    <w:p>
      <w:pPr>
        <w:pStyle w:val="15"/>
        <w:spacing w:line="480" w:lineRule="exact"/>
        <w:ind w:firstLine="42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bidi="ar"/>
        </w:rPr>
        <w:t>兹授权</w:t>
      </w:r>
      <w:r>
        <w:rPr>
          <w:rFonts w:hint="eastAsia" w:ascii="仿宋_GB2312" w:hAnsi="仿宋_GB2312" w:eastAsia="仿宋_GB2312" w:cs="仿宋_GB2312"/>
          <w:color w:val="auto"/>
          <w:kern w:val="0"/>
          <w:sz w:val="32"/>
          <w:szCs w:val="32"/>
          <w:highlight w:val="none"/>
          <w:u w:val="single"/>
          <w:lang w:bidi="ar"/>
        </w:rPr>
        <w:t xml:space="preserve">        </w:t>
      </w:r>
      <w:r>
        <w:rPr>
          <w:rFonts w:hint="eastAsia" w:ascii="仿宋_GB2312" w:hAnsi="仿宋_GB2312" w:eastAsia="仿宋_GB2312" w:cs="仿宋_GB2312"/>
          <w:color w:val="auto"/>
          <w:kern w:val="0"/>
          <w:sz w:val="32"/>
          <w:szCs w:val="32"/>
          <w:highlight w:val="none"/>
          <w:lang w:bidi="ar"/>
        </w:rPr>
        <w:t>同志为我方参加</w:t>
      </w:r>
      <w:r>
        <w:rPr>
          <w:rFonts w:hint="eastAsia" w:ascii="仿宋_GB2312" w:hAnsi="仿宋_GB2312" w:eastAsia="仿宋_GB2312" w:cs="仿宋_GB2312"/>
          <w:color w:val="auto"/>
          <w:kern w:val="0"/>
          <w:sz w:val="32"/>
          <w:szCs w:val="32"/>
          <w:highlight w:val="none"/>
          <w:u w:val="single"/>
          <w:lang w:bidi="ar"/>
        </w:rPr>
        <w:t xml:space="preserve">                 </w:t>
      </w:r>
      <w:r>
        <w:rPr>
          <w:rFonts w:hint="eastAsia" w:ascii="仿宋_GB2312" w:hAnsi="仿宋_GB2312" w:eastAsia="仿宋_GB2312" w:cs="仿宋_GB2312"/>
          <w:color w:val="auto"/>
          <w:kern w:val="0"/>
          <w:sz w:val="32"/>
          <w:szCs w:val="32"/>
          <w:highlight w:val="none"/>
          <w:lang w:bidi="ar"/>
        </w:rPr>
        <w:t>项目竞标代理人，其代理权限为：</w:t>
      </w:r>
      <w:r>
        <w:rPr>
          <w:rFonts w:hint="eastAsia" w:ascii="仿宋_GB2312" w:hAnsi="仿宋_GB2312" w:eastAsia="仿宋_GB2312" w:cs="仿宋_GB2312"/>
          <w:color w:val="auto"/>
          <w:kern w:val="0"/>
          <w:sz w:val="32"/>
          <w:szCs w:val="32"/>
          <w:highlight w:val="none"/>
          <w:u w:val="single"/>
          <w:lang w:bidi="ar"/>
        </w:rPr>
        <w:t xml:space="preserve">                                                                          </w:t>
      </w:r>
    </w:p>
    <w:p>
      <w:pPr>
        <w:pStyle w:val="15"/>
        <w:spacing w:line="480" w:lineRule="exact"/>
        <w:rPr>
          <w:rFonts w:hint="eastAsia" w:ascii="仿宋_GB2312" w:hAnsi="仿宋_GB2312" w:eastAsia="仿宋_GB2312" w:cs="仿宋_GB2312"/>
          <w:color w:val="auto"/>
          <w:kern w:val="0"/>
          <w:sz w:val="32"/>
          <w:szCs w:val="32"/>
          <w:highlight w:val="none"/>
          <w:u w:val="single"/>
        </w:rPr>
      </w:pPr>
      <w:r>
        <w:rPr>
          <w:rFonts w:hint="eastAsia" w:ascii="仿宋_GB2312" w:hAnsi="仿宋_GB2312" w:eastAsia="仿宋_GB2312" w:cs="仿宋_GB2312"/>
          <w:color w:val="auto"/>
          <w:kern w:val="0"/>
          <w:sz w:val="32"/>
          <w:szCs w:val="32"/>
          <w:highlight w:val="none"/>
          <w:u w:val="single"/>
          <w:lang w:bidi="ar"/>
        </w:rPr>
        <w:t xml:space="preserve">                                                                                            </w:t>
      </w:r>
    </w:p>
    <w:p>
      <w:pPr>
        <w:pStyle w:val="15"/>
        <w:spacing w:line="480" w:lineRule="exact"/>
        <w:rPr>
          <w:rFonts w:hint="eastAsia" w:ascii="仿宋_GB2312" w:hAnsi="仿宋_GB2312" w:eastAsia="仿宋_GB2312" w:cs="仿宋_GB2312"/>
          <w:color w:val="auto"/>
          <w:kern w:val="0"/>
          <w:sz w:val="32"/>
          <w:szCs w:val="32"/>
          <w:highlight w:val="none"/>
          <w:u w:val="single"/>
        </w:rPr>
      </w:pPr>
      <w:r>
        <w:rPr>
          <w:rFonts w:hint="eastAsia" w:ascii="仿宋_GB2312" w:hAnsi="仿宋_GB2312" w:eastAsia="仿宋_GB2312" w:cs="仿宋_GB2312"/>
          <w:color w:val="auto"/>
          <w:kern w:val="0"/>
          <w:sz w:val="32"/>
          <w:szCs w:val="32"/>
          <w:highlight w:val="none"/>
          <w:u w:val="single"/>
          <w:lang w:bidi="ar"/>
        </w:rPr>
        <w:t xml:space="preserve">                                                                                            </w:t>
      </w:r>
    </w:p>
    <w:p>
      <w:pPr>
        <w:pStyle w:val="15"/>
        <w:spacing w:line="480" w:lineRule="exact"/>
        <w:rPr>
          <w:rFonts w:hint="eastAsia" w:ascii="仿宋_GB2312" w:hAnsi="仿宋_GB2312" w:eastAsia="仿宋_GB2312" w:cs="仿宋_GB2312"/>
          <w:color w:val="auto"/>
          <w:kern w:val="0"/>
          <w:sz w:val="32"/>
          <w:szCs w:val="32"/>
          <w:highlight w:val="none"/>
          <w:u w:val="single"/>
        </w:rPr>
      </w:pPr>
      <w:r>
        <w:rPr>
          <w:rFonts w:hint="eastAsia" w:ascii="仿宋_GB2312" w:hAnsi="仿宋_GB2312" w:eastAsia="仿宋_GB2312" w:cs="仿宋_GB2312"/>
          <w:color w:val="auto"/>
          <w:kern w:val="0"/>
          <w:sz w:val="32"/>
          <w:szCs w:val="32"/>
          <w:highlight w:val="none"/>
          <w:u w:val="single"/>
          <w:lang w:bidi="ar"/>
        </w:rPr>
        <w:t xml:space="preserve">                                                                                            </w:t>
      </w:r>
    </w:p>
    <w:p>
      <w:pPr>
        <w:pStyle w:val="15"/>
        <w:spacing w:line="480" w:lineRule="exac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bidi="ar"/>
        </w:rPr>
        <w:t xml:space="preserve"> </w:t>
      </w:r>
    </w:p>
    <w:p>
      <w:pPr>
        <w:pStyle w:val="15"/>
        <w:spacing w:line="480" w:lineRule="exact"/>
        <w:ind w:firstLine="42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bidi="ar"/>
        </w:rPr>
        <w:t>代理期限从    年    月   日至    年    月    日止</w:t>
      </w:r>
    </w:p>
    <w:p>
      <w:pPr>
        <w:pStyle w:val="15"/>
        <w:spacing w:line="480" w:lineRule="exac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bidi="ar"/>
        </w:rPr>
        <w:t xml:space="preserve"> </w:t>
      </w:r>
    </w:p>
    <w:p>
      <w:pPr>
        <w:pStyle w:val="15"/>
        <w:spacing w:line="480" w:lineRule="exact"/>
        <w:ind w:firstLine="420"/>
        <w:rPr>
          <w:rFonts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color w:val="auto"/>
          <w:kern w:val="0"/>
          <w:sz w:val="32"/>
          <w:szCs w:val="32"/>
          <w:highlight w:val="none"/>
          <w:lang w:bidi="ar"/>
        </w:rPr>
        <w:t xml:space="preserve">委托单位：  （单位公章）              </w:t>
      </w:r>
    </w:p>
    <w:p>
      <w:pPr>
        <w:pStyle w:val="15"/>
        <w:spacing w:line="480" w:lineRule="exact"/>
        <w:ind w:firstLine="42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bidi="ar"/>
        </w:rPr>
        <w:t>法定代表人（负责人）：   （签字或盖章）</w:t>
      </w:r>
    </w:p>
    <w:p>
      <w:pPr>
        <w:pStyle w:val="15"/>
        <w:spacing w:line="480" w:lineRule="exact"/>
        <w:ind w:firstLine="42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bidi="ar"/>
        </w:rPr>
        <w:t xml:space="preserve"> </w:t>
      </w:r>
    </w:p>
    <w:p>
      <w:pPr>
        <w:pStyle w:val="15"/>
        <w:spacing w:line="480" w:lineRule="exact"/>
        <w:ind w:firstLine="42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bidi="ar"/>
        </w:rPr>
        <w:t>签发日期：    年      月     日</w:t>
      </w:r>
    </w:p>
    <w:p>
      <w:pPr>
        <w:pStyle w:val="15"/>
        <w:spacing w:line="480" w:lineRule="exact"/>
        <w:rPr>
          <w:rFonts w:cs="Angsana New"/>
          <w:color w:val="auto"/>
          <w:kern w:val="0"/>
          <w:sz w:val="20"/>
          <w:szCs w:val="20"/>
          <w:highlight w:val="none"/>
        </w:rPr>
      </w:pPr>
      <w:r>
        <w:rPr>
          <w:rFonts w:cs="Angsana New"/>
          <w:color w:val="auto"/>
          <w:kern w:val="0"/>
          <w:sz w:val="20"/>
          <w:szCs w:val="20"/>
          <w:highlight w:val="none"/>
          <w:lang w:bidi="ar"/>
        </w:rPr>
        <w:t xml:space="preserve">                                                                                                                                                                                        </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93" w:hRule="atLeast"/>
          <w:jc w:val="center"/>
        </w:trPr>
        <w:tc>
          <w:tcPr>
            <w:tcW w:w="8244" w:type="dxa"/>
            <w:noWrap w:val="0"/>
            <w:vAlign w:val="top"/>
          </w:tcPr>
          <w:p>
            <w:pPr>
              <w:keepNext w:val="0"/>
              <w:keepLines w:val="0"/>
              <w:suppressLineNumbers w:val="0"/>
              <w:spacing w:before="0" w:beforeAutospacing="0" w:after="0" w:afterAutospacing="0" w:line="300" w:lineRule="auto"/>
              <w:ind w:left="0" w:right="0"/>
              <w:rPr>
                <w:rFonts w:hint="default" w:ascii="Times New Roman" w:hAnsi="Times New Roman" w:eastAsia="Times New Roman" w:cs="Times New Roman"/>
                <w:color w:val="auto"/>
                <w:sz w:val="24"/>
                <w:highlight w:val="none"/>
              </w:rPr>
            </w:pPr>
            <w:r>
              <w:rPr>
                <w:rFonts w:hint="eastAsia" w:ascii="宋体" w:hAnsi="宋体" w:cs="宋体"/>
                <w:color w:val="auto"/>
                <w:sz w:val="24"/>
                <w:highlight w:val="none"/>
              </w:rPr>
              <w:t>粘贴被授权人身份证（复印件）</w:t>
            </w:r>
          </w:p>
        </w:tc>
      </w:tr>
    </w:tbl>
    <w:p>
      <w:pPr>
        <w:pStyle w:val="15"/>
        <w:spacing w:line="480" w:lineRule="exact"/>
        <w:rPr>
          <w:rFonts w:cs="Angsana New"/>
          <w:color w:val="auto"/>
          <w:kern w:val="0"/>
          <w:sz w:val="20"/>
          <w:szCs w:val="20"/>
          <w:highlight w:val="none"/>
          <w:lang w:bidi="ar"/>
        </w:rPr>
      </w:pPr>
    </w:p>
    <w:p>
      <w:pPr>
        <w:pStyle w:val="15"/>
        <w:spacing w:line="480" w:lineRule="exact"/>
        <w:rPr>
          <w:rFonts w:cs="Angsana New"/>
          <w:color w:val="auto"/>
          <w:kern w:val="0"/>
          <w:sz w:val="20"/>
          <w:szCs w:val="20"/>
          <w:highlight w:val="none"/>
          <w:lang w:bidi="ar"/>
        </w:rPr>
      </w:pPr>
    </w:p>
    <w:p>
      <w:pPr>
        <w:pStyle w:val="15"/>
        <w:spacing w:line="480" w:lineRule="exact"/>
        <w:rPr>
          <w:rFonts w:cs="Angsana New"/>
          <w:color w:val="auto"/>
          <w:kern w:val="0"/>
          <w:sz w:val="20"/>
          <w:szCs w:val="20"/>
          <w:highlight w:val="none"/>
          <w:lang w:bidi="ar"/>
        </w:rPr>
      </w:pPr>
    </w:p>
    <w:p>
      <w:pPr>
        <w:pStyle w:val="15"/>
        <w:spacing w:line="480" w:lineRule="exact"/>
        <w:rPr>
          <w:rFonts w:cs="Angsana New"/>
          <w:color w:val="auto"/>
          <w:kern w:val="0"/>
          <w:sz w:val="20"/>
          <w:szCs w:val="20"/>
          <w:highlight w:val="none"/>
          <w:lang w:bidi="ar"/>
        </w:rPr>
      </w:pPr>
    </w:p>
    <w:p>
      <w:pPr>
        <w:pStyle w:val="15"/>
        <w:spacing w:line="480" w:lineRule="exact"/>
        <w:rPr>
          <w:rFonts w:cs="Angsana New"/>
          <w:color w:val="auto"/>
          <w:kern w:val="0"/>
          <w:sz w:val="20"/>
          <w:szCs w:val="20"/>
          <w:highlight w:val="none"/>
          <w:lang w:bidi="ar"/>
        </w:rPr>
      </w:pPr>
    </w:p>
    <w:p>
      <w:pPr>
        <w:pStyle w:val="15"/>
        <w:spacing w:line="480" w:lineRule="exact"/>
        <w:rPr>
          <w:rFonts w:hint="eastAsia" w:ascii="仿宋_GB2312" w:hAnsi="仿宋_GB2312" w:eastAsia="仿宋_GB2312" w:cs="仿宋_GB2312"/>
          <w:color w:val="auto"/>
          <w:kern w:val="0"/>
          <w:sz w:val="28"/>
          <w:szCs w:val="28"/>
          <w:highlight w:val="none"/>
        </w:rPr>
      </w:pPr>
      <w:r>
        <w:rPr>
          <w:rFonts w:cs="Angsana New"/>
          <w:color w:val="auto"/>
          <w:kern w:val="0"/>
          <w:sz w:val="20"/>
          <w:szCs w:val="20"/>
          <w:highlight w:val="none"/>
          <w:lang w:bidi="ar"/>
        </w:rPr>
        <w:t xml:space="preserve">   </w:t>
      </w:r>
      <w:r>
        <w:rPr>
          <w:rFonts w:hint="eastAsia" w:ascii="仿宋_GB2312" w:hAnsi="仿宋_GB2312" w:eastAsia="仿宋_GB2312" w:cs="仿宋_GB2312"/>
          <w:color w:val="auto"/>
          <w:kern w:val="0"/>
          <w:sz w:val="28"/>
          <w:szCs w:val="28"/>
          <w:highlight w:val="none"/>
          <w:lang w:bidi="ar"/>
        </w:rPr>
        <w:t xml:space="preserve"> 附：1、代理人工作单位：                       职务：</w:t>
      </w:r>
    </w:p>
    <w:p>
      <w:pPr>
        <w:pStyle w:val="15"/>
        <w:spacing w:line="480" w:lineRule="exact"/>
        <w:ind w:firstLine="420"/>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lang w:bidi="ar"/>
        </w:rPr>
        <w:t xml:space="preserve">       身份证号码：                           性别：           年龄：</w:t>
      </w:r>
    </w:p>
    <w:p>
      <w:pPr>
        <w:pStyle w:val="15"/>
        <w:spacing w:line="480" w:lineRule="exact"/>
        <w:ind w:firstLine="840"/>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lang w:bidi="ar"/>
        </w:rPr>
        <w:t>2、委托人营业执照号码：</w:t>
      </w:r>
    </w:p>
    <w:p>
      <w:pPr>
        <w:pStyle w:val="15"/>
        <w:spacing w:line="480" w:lineRule="exact"/>
        <w:ind w:firstLine="420"/>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lang w:bidi="ar"/>
        </w:rPr>
        <w:t xml:space="preserve">       地址：                                 单位性质：</w:t>
      </w:r>
    </w:p>
    <w:p>
      <w:pPr>
        <w:pStyle w:val="15"/>
        <w:spacing w:line="480" w:lineRule="exact"/>
        <w:ind w:firstLine="420"/>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lang w:bidi="ar"/>
        </w:rPr>
        <w:t xml:space="preserve">       注册资金：                             经营范围：</w:t>
      </w:r>
    </w:p>
    <w:p>
      <w:pPr>
        <w:pStyle w:val="15"/>
        <w:spacing w:line="480" w:lineRule="exact"/>
        <w:rPr>
          <w:rFonts w:hint="eastAsia" w:ascii="仿宋_GB2312" w:hAnsi="仿宋_GB2312" w:eastAsia="仿宋_GB2312" w:cs="仿宋_GB2312"/>
          <w:color w:val="auto"/>
          <w:kern w:val="0"/>
          <w:sz w:val="28"/>
          <w:szCs w:val="28"/>
          <w:highlight w:val="none"/>
        </w:rPr>
      </w:pPr>
    </w:p>
    <w:p>
      <w:pPr>
        <w:pStyle w:val="15"/>
        <w:spacing w:line="480" w:lineRule="exact"/>
        <w:ind w:firstLine="420"/>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lang w:bidi="ar"/>
        </w:rPr>
        <w:t>说明：</w:t>
      </w:r>
    </w:p>
    <w:p>
      <w:pPr>
        <w:pStyle w:val="15"/>
        <w:spacing w:line="480" w:lineRule="exact"/>
        <w:ind w:firstLine="735"/>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lang w:bidi="ar"/>
        </w:rPr>
        <w:t>1、法定代表人（负责人）授权委托书所签发的代理期限必须涵盖代理人所有签字为有效的时间。</w:t>
      </w:r>
    </w:p>
    <w:p>
      <w:pPr>
        <w:pStyle w:val="15"/>
        <w:spacing w:line="480" w:lineRule="exact"/>
        <w:ind w:firstLine="735"/>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lang w:bidi="ar"/>
        </w:rPr>
        <w:t>2、委托书内容填写要明确，文字要工整清楚，涂改无效。</w:t>
      </w:r>
    </w:p>
    <w:p>
      <w:pPr>
        <w:pStyle w:val="15"/>
        <w:spacing w:line="480" w:lineRule="exact"/>
        <w:ind w:firstLine="735"/>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lang w:bidi="ar"/>
        </w:rPr>
        <w:t>3、委托书不得转借、转让，不得买卖。</w:t>
      </w:r>
    </w:p>
    <w:p>
      <w:pPr>
        <w:pStyle w:val="15"/>
        <w:spacing w:line="560" w:lineRule="exact"/>
        <w:ind w:firstLine="840" w:firstLineChars="300"/>
        <w:rPr>
          <w:rFonts w:ascii="仿宋_GB2312" w:hAnsi="仿宋_GB2312" w:eastAsia="仿宋_GB2312" w:cs="仿宋_GB2312"/>
          <w:color w:val="auto"/>
          <w:kern w:val="0"/>
          <w:sz w:val="28"/>
          <w:szCs w:val="28"/>
          <w:highlight w:val="none"/>
          <w:lang w:bidi="ar"/>
        </w:rPr>
      </w:pPr>
      <w:r>
        <w:rPr>
          <w:rFonts w:hint="eastAsia" w:ascii="仿宋_GB2312" w:hAnsi="仿宋_GB2312" w:eastAsia="仿宋_GB2312" w:cs="仿宋_GB2312"/>
          <w:color w:val="auto"/>
          <w:kern w:val="0"/>
          <w:sz w:val="28"/>
          <w:szCs w:val="28"/>
          <w:highlight w:val="none"/>
          <w:lang w:bidi="ar"/>
        </w:rPr>
        <w:t>代理人根据授权范围，以委托单位的名义签订合同，并将此委托书提交给对方作为合同附件。</w:t>
      </w:r>
    </w:p>
    <w:p>
      <w:pPr>
        <w:outlineLvl w:val="0"/>
        <w:rPr>
          <w:rFonts w:hint="eastAsia" w:cs="Angsana New"/>
          <w:b/>
          <w:color w:val="auto"/>
          <w:kern w:val="0"/>
          <w:sz w:val="30"/>
          <w:szCs w:val="30"/>
          <w:highlight w:val="none"/>
          <w:lang w:bidi="ar"/>
        </w:rPr>
      </w:pPr>
      <w:r>
        <w:rPr>
          <w:rFonts w:ascii="仿宋_GB2312" w:hAnsi="仿宋_GB2312" w:eastAsia="仿宋_GB2312" w:cs="仿宋_GB2312"/>
          <w:color w:val="auto"/>
          <w:kern w:val="0"/>
          <w:sz w:val="28"/>
          <w:szCs w:val="28"/>
          <w:highlight w:val="none"/>
          <w:lang w:bidi="ar"/>
        </w:rPr>
        <w:br w:type="page"/>
      </w:r>
      <w:bookmarkStart w:id="44" w:name="_Toc10384"/>
      <w:r>
        <w:rPr>
          <w:rFonts w:hint="eastAsia" w:cs="Angsana New"/>
          <w:b/>
          <w:color w:val="auto"/>
          <w:kern w:val="0"/>
          <w:sz w:val="30"/>
          <w:szCs w:val="30"/>
          <w:highlight w:val="none"/>
          <w:lang w:bidi="ar"/>
        </w:rPr>
        <w:t>附件</w:t>
      </w:r>
      <w:r>
        <w:rPr>
          <w:rFonts w:cs="Angsana New"/>
          <w:b/>
          <w:color w:val="auto"/>
          <w:kern w:val="0"/>
          <w:sz w:val="30"/>
          <w:szCs w:val="30"/>
          <w:highlight w:val="none"/>
          <w:lang w:bidi="ar"/>
        </w:rPr>
        <w:t>7</w:t>
      </w:r>
      <w:bookmarkEnd w:id="44"/>
    </w:p>
    <w:p>
      <w:pPr>
        <w:jc w:val="center"/>
        <w:rPr>
          <w:rFonts w:hint="eastAsia"/>
          <w:b/>
          <w:color w:val="auto"/>
          <w:sz w:val="44"/>
          <w:szCs w:val="44"/>
          <w:highlight w:val="none"/>
        </w:rPr>
      </w:pPr>
      <w:r>
        <w:rPr>
          <w:rFonts w:hint="eastAsia"/>
          <w:b/>
          <w:color w:val="auto"/>
          <w:sz w:val="44"/>
          <w:szCs w:val="44"/>
          <w:highlight w:val="none"/>
        </w:rPr>
        <w:t>廉洁承诺书</w:t>
      </w:r>
    </w:p>
    <w:p>
      <w:pPr>
        <w:pStyle w:val="34"/>
        <w:rPr>
          <w:color w:val="auto"/>
          <w:highlight w:val="none"/>
        </w:rPr>
      </w:pPr>
    </w:p>
    <w:p>
      <w:pPr>
        <w:autoSpaceDE w:val="0"/>
        <w:autoSpaceDN w:val="0"/>
        <w:adjustRightInd w:val="0"/>
        <w:spacing w:line="600" w:lineRule="exact"/>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广西会展时空信息科技有限公司：</w:t>
      </w:r>
    </w:p>
    <w:p>
      <w:pPr>
        <w:pStyle w:val="34"/>
        <w:spacing w:line="600" w:lineRule="exact"/>
        <w:rPr>
          <w:rFonts w:hint="eastAsia"/>
          <w:color w:val="auto"/>
          <w:highlight w:val="none"/>
        </w:rPr>
      </w:pPr>
    </w:p>
    <w:p>
      <w:pPr>
        <w:autoSpaceDE w:val="0"/>
        <w:autoSpaceDN w:val="0"/>
        <w:adjustRightInd w:val="0"/>
        <w:spacing w:line="600" w:lineRule="exact"/>
        <w:ind w:firstLine="560" w:firstLineChars="200"/>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为积极配合贵公司进行的项目招标工作，有效遏制不公平竞争和违规违纪问题的发生，确保招标工作的公平、公正、公开，我们特向贵公司承诺如下事项：</w:t>
      </w:r>
    </w:p>
    <w:p>
      <w:pPr>
        <w:pStyle w:val="34"/>
        <w:spacing w:line="600" w:lineRule="exact"/>
        <w:rPr>
          <w:rFonts w:hint="eastAsia"/>
          <w:color w:val="auto"/>
          <w:highlight w:val="none"/>
        </w:rPr>
      </w:pPr>
    </w:p>
    <w:p>
      <w:pPr>
        <w:autoSpaceDE w:val="0"/>
        <w:autoSpaceDN w:val="0"/>
        <w:adjustRightInd w:val="0"/>
        <w:spacing w:line="600" w:lineRule="exact"/>
        <w:ind w:firstLine="560" w:firstLineChars="200"/>
        <w:jc w:val="left"/>
        <w:rPr>
          <w:rFonts w:hint="eastAsia"/>
          <w:color w:val="auto"/>
          <w:highlight w:val="none"/>
        </w:rPr>
      </w:pPr>
      <w:r>
        <w:rPr>
          <w:rFonts w:hint="eastAsia" w:ascii="仿宋_GB2312" w:hAnsi="仿宋_GB2312" w:eastAsia="仿宋_GB2312" w:cs="仿宋_GB2312"/>
          <w:color w:val="auto"/>
          <w:kern w:val="0"/>
          <w:sz w:val="28"/>
          <w:szCs w:val="28"/>
          <w:highlight w:val="none"/>
        </w:rPr>
        <w:t>1.自觉遵守国家法律法规及贵单位有关廉政建设制度。</w:t>
      </w:r>
    </w:p>
    <w:p>
      <w:pPr>
        <w:autoSpaceDE w:val="0"/>
        <w:autoSpaceDN w:val="0"/>
        <w:adjustRightInd w:val="0"/>
        <w:spacing w:line="600" w:lineRule="exact"/>
        <w:ind w:firstLine="560" w:firstLineChars="200"/>
        <w:jc w:val="left"/>
        <w:rPr>
          <w:rFonts w:hint="eastAsia"/>
          <w:color w:val="auto"/>
          <w:highlight w:val="none"/>
        </w:rPr>
      </w:pPr>
      <w:r>
        <w:rPr>
          <w:rFonts w:hint="eastAsia" w:ascii="仿宋_GB2312" w:hAnsi="仿宋_GB2312" w:eastAsia="仿宋_GB2312" w:cs="仿宋_GB2312"/>
          <w:color w:val="auto"/>
          <w:kern w:val="0"/>
          <w:sz w:val="28"/>
          <w:szCs w:val="28"/>
          <w:highlight w:val="none"/>
        </w:rPr>
        <w:t>2.不使用不正当手段妨碍、排挤其它投标单位或串通投标。</w:t>
      </w:r>
    </w:p>
    <w:p>
      <w:pPr>
        <w:autoSpaceDE w:val="0"/>
        <w:autoSpaceDN w:val="0"/>
        <w:adjustRightInd w:val="0"/>
        <w:spacing w:line="600" w:lineRule="exact"/>
        <w:ind w:firstLine="560" w:firstLineChars="200"/>
        <w:jc w:val="left"/>
        <w:rPr>
          <w:rFonts w:hint="eastAsia"/>
          <w:color w:val="auto"/>
          <w:highlight w:val="none"/>
        </w:rPr>
      </w:pPr>
      <w:r>
        <w:rPr>
          <w:rFonts w:hint="eastAsia" w:ascii="仿宋_GB2312" w:hAnsi="仿宋_GB2312" w:eastAsia="仿宋_GB2312" w:cs="仿宋_GB2312"/>
          <w:color w:val="auto"/>
          <w:kern w:val="0"/>
          <w:sz w:val="28"/>
          <w:szCs w:val="28"/>
          <w:highlight w:val="none"/>
        </w:rPr>
        <w:t>3.按照招标文件规定的方式进行投标，不隐瞒本单位投标资质的真实情况，投标资质符合规定；保证不会以其他人名义投标或者以其他方式弄虚作假，骗取中标。</w:t>
      </w:r>
    </w:p>
    <w:p>
      <w:pPr>
        <w:autoSpaceDE w:val="0"/>
        <w:autoSpaceDN w:val="0"/>
        <w:adjustRightInd w:val="0"/>
        <w:spacing w:line="600" w:lineRule="exact"/>
        <w:ind w:firstLine="560" w:firstLineChars="200"/>
        <w:jc w:val="left"/>
        <w:rPr>
          <w:rFonts w:hint="eastAsia"/>
          <w:color w:val="auto"/>
          <w:highlight w:val="none"/>
        </w:rPr>
      </w:pPr>
      <w:r>
        <w:rPr>
          <w:rFonts w:hint="eastAsia" w:ascii="仿宋_GB2312" w:hAnsi="仿宋_GB2312" w:eastAsia="仿宋_GB2312" w:cs="仿宋_GB2312"/>
          <w:color w:val="auto"/>
          <w:kern w:val="0"/>
          <w:sz w:val="28"/>
          <w:szCs w:val="28"/>
          <w:highlight w:val="none"/>
        </w:rPr>
        <w:t>4.不将主体、关键性工作进行分包（包括贴牌生产、转包等）。</w:t>
      </w:r>
    </w:p>
    <w:p>
      <w:pPr>
        <w:autoSpaceDE w:val="0"/>
        <w:autoSpaceDN w:val="0"/>
        <w:adjustRightInd w:val="0"/>
        <w:spacing w:line="600" w:lineRule="exact"/>
        <w:ind w:firstLine="560" w:firstLineChars="200"/>
        <w:jc w:val="left"/>
        <w:rPr>
          <w:rFonts w:hint="eastAsia"/>
          <w:color w:val="auto"/>
          <w:highlight w:val="none"/>
        </w:rPr>
      </w:pPr>
      <w:r>
        <w:rPr>
          <w:rFonts w:hint="eastAsia" w:ascii="仿宋_GB2312" w:hAnsi="仿宋_GB2312" w:eastAsia="仿宋_GB2312" w:cs="仿宋_GB2312"/>
          <w:color w:val="auto"/>
          <w:kern w:val="0"/>
          <w:sz w:val="28"/>
          <w:szCs w:val="28"/>
          <w:highlight w:val="none"/>
        </w:rPr>
        <w:t>5.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autoSpaceDE w:val="0"/>
        <w:autoSpaceDN w:val="0"/>
        <w:adjustRightInd w:val="0"/>
        <w:spacing w:line="600" w:lineRule="exact"/>
        <w:ind w:firstLine="560" w:firstLineChars="200"/>
        <w:jc w:val="left"/>
        <w:rPr>
          <w:rFonts w:hint="eastAsia"/>
          <w:color w:val="auto"/>
          <w:highlight w:val="none"/>
        </w:rPr>
      </w:pPr>
      <w:r>
        <w:rPr>
          <w:rFonts w:hint="eastAsia" w:ascii="仿宋_GB2312" w:hAnsi="仿宋_GB2312" w:eastAsia="仿宋_GB2312" w:cs="仿宋_GB2312"/>
          <w:color w:val="auto"/>
          <w:kern w:val="0"/>
          <w:sz w:val="28"/>
          <w:szCs w:val="28"/>
          <w:highlight w:val="none"/>
        </w:rPr>
        <w:t>6.不向贵公司涉及招标的部门及个人支付好处费、介绍费；购置或提供通讯工具、交通工具、电脑等。</w:t>
      </w:r>
    </w:p>
    <w:p>
      <w:pPr>
        <w:autoSpaceDE w:val="0"/>
        <w:autoSpaceDN w:val="0"/>
        <w:adjustRightInd w:val="0"/>
        <w:spacing w:line="600" w:lineRule="exact"/>
        <w:ind w:firstLine="560" w:firstLineChars="200"/>
        <w:jc w:val="left"/>
        <w:rPr>
          <w:rFonts w:hint="eastAsia"/>
          <w:color w:val="auto"/>
          <w:highlight w:val="none"/>
        </w:rPr>
      </w:pPr>
      <w:r>
        <w:rPr>
          <w:rFonts w:hint="eastAsia" w:ascii="仿宋_GB2312" w:hAnsi="仿宋_GB2312" w:eastAsia="仿宋_GB2312" w:cs="仿宋_GB2312"/>
          <w:color w:val="auto"/>
          <w:kern w:val="0"/>
          <w:sz w:val="28"/>
          <w:szCs w:val="28"/>
          <w:highlight w:val="none"/>
        </w:rPr>
        <w:t>7.一旦发现相关人员在招标过程中有索要财物等不廉洁行为，坚决予以抵制，并及时向贵公司纪检监察部举报（举报电话：0771-2212021）。</w:t>
      </w:r>
    </w:p>
    <w:p>
      <w:pPr>
        <w:autoSpaceDE w:val="0"/>
        <w:autoSpaceDN w:val="0"/>
        <w:adjustRightInd w:val="0"/>
        <w:spacing w:line="600" w:lineRule="exact"/>
        <w:ind w:firstLine="560" w:firstLineChars="200"/>
        <w:jc w:val="left"/>
        <w:rPr>
          <w:rFonts w:hint="eastAsia"/>
          <w:color w:val="auto"/>
          <w:highlight w:val="none"/>
        </w:rPr>
      </w:pPr>
      <w:r>
        <w:rPr>
          <w:rFonts w:hint="eastAsia" w:ascii="仿宋_GB2312" w:hAnsi="仿宋_GB2312" w:eastAsia="仿宋_GB2312" w:cs="仿宋_GB2312"/>
          <w:color w:val="auto"/>
          <w:kern w:val="0"/>
          <w:sz w:val="28"/>
          <w:szCs w:val="28"/>
          <w:highlight w:val="none"/>
        </w:rPr>
        <w:t>8.我方自愿将本承诺书作为投标文件及合同的附件，具有同等的法律效力。</w:t>
      </w:r>
    </w:p>
    <w:p>
      <w:pPr>
        <w:autoSpaceDE w:val="0"/>
        <w:autoSpaceDN w:val="0"/>
        <w:adjustRightInd w:val="0"/>
        <w:spacing w:line="600" w:lineRule="exact"/>
        <w:ind w:firstLine="560" w:firstLineChars="200"/>
        <w:jc w:val="left"/>
        <w:rPr>
          <w:rFonts w:hint="eastAsia"/>
          <w:color w:val="auto"/>
          <w:highlight w:val="none"/>
        </w:rPr>
      </w:pPr>
      <w:r>
        <w:rPr>
          <w:rFonts w:hint="eastAsia" w:ascii="仿宋_GB2312" w:hAnsi="仿宋_GB2312" w:eastAsia="仿宋_GB2312" w:cs="仿宋_GB2312"/>
          <w:color w:val="auto"/>
          <w:kern w:val="0"/>
          <w:sz w:val="28"/>
          <w:szCs w:val="28"/>
          <w:highlight w:val="none"/>
        </w:rPr>
        <w:t>9.若违反上述承诺或违反有关法律法规及贵公司有关规定，我方自愿永久放弃参与贵公司的所有业务往来，并承担贵公司制度规定的一切法律责任。</w:t>
      </w:r>
    </w:p>
    <w:p>
      <w:pPr>
        <w:autoSpaceDE w:val="0"/>
        <w:autoSpaceDN w:val="0"/>
        <w:adjustRightInd w:val="0"/>
        <w:spacing w:line="600" w:lineRule="exact"/>
        <w:ind w:firstLine="560" w:firstLineChars="200"/>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10.本承诺书自签署之日起生效。</w:t>
      </w:r>
    </w:p>
    <w:p>
      <w:pPr>
        <w:pStyle w:val="34"/>
        <w:spacing w:line="600" w:lineRule="exact"/>
        <w:rPr>
          <w:rFonts w:hint="eastAsia"/>
          <w:color w:val="auto"/>
          <w:highlight w:val="none"/>
        </w:rPr>
      </w:pPr>
    </w:p>
    <w:p>
      <w:pPr>
        <w:autoSpaceDE w:val="0"/>
        <w:autoSpaceDN w:val="0"/>
        <w:adjustRightInd w:val="0"/>
        <w:spacing w:line="600" w:lineRule="exact"/>
        <w:ind w:firstLine="4480" w:firstLineChars="1600"/>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投标单位（公章）：</w:t>
      </w:r>
    </w:p>
    <w:p>
      <w:pPr>
        <w:pStyle w:val="34"/>
        <w:spacing w:line="600" w:lineRule="exact"/>
        <w:rPr>
          <w:rFonts w:hint="eastAsia"/>
          <w:color w:val="auto"/>
          <w:highlight w:val="none"/>
        </w:rPr>
      </w:pPr>
    </w:p>
    <w:p>
      <w:pPr>
        <w:autoSpaceDE w:val="0"/>
        <w:autoSpaceDN w:val="0"/>
        <w:adjustRightInd w:val="0"/>
        <w:spacing w:line="600" w:lineRule="exact"/>
        <w:ind w:firstLine="1680" w:firstLineChars="600"/>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法定代表人（负责人）或授权代理人（签名）：</w:t>
      </w:r>
    </w:p>
    <w:p>
      <w:pPr>
        <w:pStyle w:val="34"/>
        <w:rPr>
          <w:rFonts w:hint="eastAsia"/>
          <w:color w:val="auto"/>
          <w:highlight w:val="none"/>
        </w:rPr>
      </w:pPr>
    </w:p>
    <w:p>
      <w:pPr>
        <w:pStyle w:val="10"/>
        <w:spacing w:line="400" w:lineRule="exact"/>
        <w:rPr>
          <w:rFonts w:ascii="仿宋_GB2312" w:hAnsi="仿宋_GB2312" w:eastAsia="仿宋_GB2312" w:cs="仿宋_GB2312"/>
          <w:color w:val="auto"/>
          <w:sz w:val="28"/>
          <w:szCs w:val="28"/>
          <w:highlight w:val="none"/>
        </w:rPr>
      </w:pPr>
      <w:r>
        <w:rPr>
          <w:color w:val="auto"/>
          <w:highlight w:val="none"/>
        </w:rPr>
        <w:t xml:space="preserve">                                             </w:t>
      </w:r>
      <w:r>
        <w:rPr>
          <w:rFonts w:hint="eastAsia" w:ascii="仿宋_GB2312" w:hAnsi="仿宋_GB2312" w:eastAsia="仿宋_GB2312" w:cs="仿宋_GB2312"/>
          <w:color w:val="auto"/>
          <w:sz w:val="28"/>
          <w:szCs w:val="28"/>
          <w:highlight w:val="none"/>
        </w:rPr>
        <w:t xml:space="preserve">  日期：   年  月  日</w:t>
      </w:r>
    </w:p>
    <w:p>
      <w:pPr>
        <w:outlineLvl w:val="0"/>
        <w:rPr>
          <w:rFonts w:hint="eastAsia" w:cs="Angsana New"/>
          <w:b/>
          <w:color w:val="auto"/>
          <w:sz w:val="30"/>
          <w:szCs w:val="30"/>
          <w:highlight w:val="none"/>
          <w:lang w:bidi="ar"/>
        </w:rPr>
      </w:pPr>
      <w:r>
        <w:rPr>
          <w:rFonts w:ascii="仿宋_GB2312" w:hAnsi="仿宋_GB2312" w:eastAsia="仿宋_GB2312" w:cs="仿宋_GB2312"/>
          <w:color w:val="auto"/>
          <w:sz w:val="28"/>
          <w:szCs w:val="28"/>
          <w:highlight w:val="none"/>
        </w:rPr>
        <w:br w:type="page"/>
      </w:r>
      <w:bookmarkStart w:id="45" w:name="_Toc7599"/>
      <w:r>
        <w:rPr>
          <w:rFonts w:hint="eastAsia" w:cs="Angsana New"/>
          <w:b/>
          <w:color w:val="auto"/>
          <w:kern w:val="0"/>
          <w:sz w:val="30"/>
          <w:szCs w:val="30"/>
          <w:highlight w:val="none"/>
          <w:lang w:bidi="ar"/>
        </w:rPr>
        <w:t>附件</w:t>
      </w:r>
      <w:r>
        <w:rPr>
          <w:rFonts w:cs="Angsana New"/>
          <w:b/>
          <w:color w:val="auto"/>
          <w:kern w:val="0"/>
          <w:sz w:val="30"/>
          <w:szCs w:val="30"/>
          <w:highlight w:val="none"/>
          <w:lang w:bidi="ar"/>
        </w:rPr>
        <w:t>8</w:t>
      </w:r>
      <w:bookmarkEnd w:id="45"/>
    </w:p>
    <w:p>
      <w:pPr>
        <w:pStyle w:val="15"/>
        <w:spacing w:line="560" w:lineRule="exact"/>
        <w:jc w:val="center"/>
        <w:rPr>
          <w:rFonts w:hint="eastAsia" w:ascii="宋体" w:hAnsi="宋体" w:cs="宋体"/>
          <w:b/>
          <w:color w:val="auto"/>
          <w:kern w:val="0"/>
          <w:sz w:val="30"/>
          <w:szCs w:val="30"/>
          <w:highlight w:val="none"/>
          <w:lang w:bidi="ar"/>
        </w:rPr>
      </w:pPr>
    </w:p>
    <w:p>
      <w:pPr>
        <w:pStyle w:val="15"/>
        <w:spacing w:line="560" w:lineRule="exact"/>
        <w:jc w:val="center"/>
        <w:rPr>
          <w:rFonts w:hint="eastAsia" w:cs="Angsana New"/>
          <w:b/>
          <w:color w:val="auto"/>
          <w:kern w:val="0"/>
          <w:sz w:val="30"/>
          <w:szCs w:val="30"/>
          <w:highlight w:val="none"/>
        </w:rPr>
      </w:pPr>
      <w:r>
        <w:rPr>
          <w:rFonts w:hint="eastAsia" w:ascii="宋体" w:hAnsi="宋体" w:cs="宋体"/>
          <w:b/>
          <w:color w:val="auto"/>
          <w:kern w:val="0"/>
          <w:sz w:val="30"/>
          <w:szCs w:val="30"/>
          <w:highlight w:val="none"/>
          <w:lang w:bidi="ar"/>
        </w:rPr>
        <w:t>供应商认为必要提供的声明及文件资料</w:t>
      </w:r>
    </w:p>
    <w:p>
      <w:pPr>
        <w:pStyle w:val="15"/>
        <w:spacing w:line="560" w:lineRule="exact"/>
        <w:jc w:val="center"/>
        <w:rPr>
          <w:rFonts w:hint="eastAsia" w:cs="Angsana New"/>
          <w:b/>
          <w:color w:val="auto"/>
          <w:kern w:val="0"/>
          <w:sz w:val="30"/>
          <w:szCs w:val="30"/>
          <w:highlight w:val="none"/>
        </w:rPr>
      </w:pPr>
      <w:r>
        <w:rPr>
          <w:rFonts w:hint="eastAsia" w:ascii="宋体" w:hAnsi="宋体" w:cs="宋体"/>
          <w:b/>
          <w:color w:val="auto"/>
          <w:kern w:val="0"/>
          <w:sz w:val="30"/>
          <w:szCs w:val="30"/>
          <w:highlight w:val="none"/>
          <w:lang w:bidi="ar"/>
        </w:rPr>
        <w:t>（格式自拟）</w:t>
      </w:r>
    </w:p>
    <w:p>
      <w:pPr>
        <w:pStyle w:val="15"/>
        <w:spacing w:before="240"/>
        <w:jc w:val="left"/>
        <w:rPr>
          <w:rFonts w:cs="Angsana New"/>
          <w:b/>
          <w:color w:val="auto"/>
          <w:kern w:val="0"/>
          <w:sz w:val="32"/>
          <w:szCs w:val="32"/>
          <w:highlight w:val="none"/>
          <w:lang w:bidi="ar"/>
        </w:rPr>
      </w:pPr>
    </w:p>
    <w:p>
      <w:pPr>
        <w:pStyle w:val="15"/>
        <w:spacing w:before="240"/>
        <w:jc w:val="left"/>
        <w:rPr>
          <w:rFonts w:hint="eastAsia" w:ascii="宋体" w:hAnsi="宋体" w:cs="宋体"/>
          <w:b/>
          <w:color w:val="auto"/>
          <w:kern w:val="0"/>
          <w:sz w:val="32"/>
          <w:szCs w:val="32"/>
          <w:highlight w:val="none"/>
          <w:lang w:bidi="ar"/>
        </w:rPr>
        <w:sectPr>
          <w:pgSz w:w="11906" w:h="16838"/>
          <w:pgMar w:top="1418" w:right="1418" w:bottom="1418" w:left="1418" w:header="851" w:footer="992" w:gutter="0"/>
          <w:pgNumType w:fmt="decimal"/>
          <w:cols w:space="720" w:num="1"/>
          <w:docGrid w:type="lines" w:linePitch="312" w:charSpace="0"/>
        </w:sectPr>
      </w:pPr>
    </w:p>
    <w:p>
      <w:pPr>
        <w:pStyle w:val="15"/>
        <w:spacing w:before="240"/>
        <w:jc w:val="center"/>
        <w:rPr>
          <w:rFonts w:hint="eastAsia" w:ascii="宋体" w:hAnsi="宋体" w:cs="宋体"/>
          <w:b/>
          <w:color w:val="auto"/>
          <w:kern w:val="0"/>
          <w:sz w:val="32"/>
          <w:szCs w:val="32"/>
          <w:highlight w:val="none"/>
          <w:lang w:bidi="ar"/>
        </w:rPr>
      </w:pPr>
    </w:p>
    <w:p>
      <w:pPr>
        <w:pStyle w:val="15"/>
        <w:spacing w:before="240"/>
        <w:jc w:val="center"/>
        <w:rPr>
          <w:rFonts w:hint="eastAsia" w:ascii="宋体" w:hAnsi="宋体" w:cs="宋体"/>
          <w:b/>
          <w:color w:val="auto"/>
          <w:kern w:val="0"/>
          <w:sz w:val="32"/>
          <w:szCs w:val="32"/>
          <w:highlight w:val="none"/>
          <w:lang w:bidi="ar"/>
        </w:rPr>
      </w:pPr>
    </w:p>
    <w:p>
      <w:pPr>
        <w:pStyle w:val="15"/>
        <w:spacing w:before="240"/>
        <w:jc w:val="center"/>
        <w:rPr>
          <w:rFonts w:hint="eastAsia" w:ascii="宋体" w:hAnsi="宋体" w:cs="宋体"/>
          <w:b/>
          <w:color w:val="auto"/>
          <w:kern w:val="0"/>
          <w:sz w:val="32"/>
          <w:szCs w:val="32"/>
          <w:highlight w:val="none"/>
          <w:lang w:bidi="ar"/>
        </w:rPr>
      </w:pPr>
    </w:p>
    <w:p>
      <w:pPr>
        <w:pStyle w:val="15"/>
        <w:spacing w:before="240"/>
        <w:jc w:val="center"/>
        <w:rPr>
          <w:rFonts w:hint="eastAsia" w:ascii="宋体" w:hAnsi="宋体" w:cs="宋体"/>
          <w:b/>
          <w:color w:val="auto"/>
          <w:kern w:val="0"/>
          <w:sz w:val="32"/>
          <w:szCs w:val="32"/>
          <w:highlight w:val="none"/>
          <w:lang w:bidi="ar"/>
        </w:rPr>
      </w:pPr>
    </w:p>
    <w:p>
      <w:pPr>
        <w:pStyle w:val="15"/>
        <w:spacing w:before="240"/>
        <w:jc w:val="center"/>
        <w:rPr>
          <w:rFonts w:hint="eastAsia" w:ascii="宋体" w:hAnsi="宋体" w:cs="宋体"/>
          <w:b/>
          <w:color w:val="auto"/>
          <w:kern w:val="0"/>
          <w:sz w:val="32"/>
          <w:szCs w:val="32"/>
          <w:highlight w:val="none"/>
          <w:lang w:bidi="ar"/>
        </w:rPr>
      </w:pPr>
    </w:p>
    <w:p>
      <w:pPr>
        <w:pStyle w:val="15"/>
        <w:spacing w:before="240"/>
        <w:jc w:val="center"/>
        <w:rPr>
          <w:rFonts w:hint="eastAsia" w:ascii="宋体" w:hAnsi="宋体" w:cs="宋体"/>
          <w:b/>
          <w:color w:val="auto"/>
          <w:kern w:val="0"/>
          <w:sz w:val="32"/>
          <w:szCs w:val="32"/>
          <w:highlight w:val="none"/>
          <w:lang w:bidi="ar"/>
        </w:rPr>
      </w:pPr>
    </w:p>
    <w:p>
      <w:pPr>
        <w:pStyle w:val="15"/>
        <w:spacing w:before="240"/>
        <w:jc w:val="center"/>
        <w:rPr>
          <w:rFonts w:cs="Angsana New"/>
          <w:b/>
          <w:color w:val="auto"/>
          <w:kern w:val="0"/>
          <w:sz w:val="32"/>
          <w:szCs w:val="32"/>
          <w:highlight w:val="none"/>
        </w:rPr>
      </w:pPr>
      <w:r>
        <w:rPr>
          <w:rFonts w:hint="eastAsia" w:ascii="宋体" w:hAnsi="宋体" w:cs="宋体"/>
          <w:b/>
          <w:color w:val="auto"/>
          <w:kern w:val="0"/>
          <w:sz w:val="32"/>
          <w:szCs w:val="32"/>
          <w:highlight w:val="none"/>
          <w:lang w:bidi="ar"/>
        </w:rPr>
        <w:t>三、技术文件</w:t>
      </w:r>
    </w:p>
    <w:p>
      <w:pPr>
        <w:pStyle w:val="15"/>
        <w:spacing w:before="240"/>
        <w:jc w:val="center"/>
        <w:rPr>
          <w:rFonts w:cs="Angsana New"/>
          <w:b/>
          <w:color w:val="auto"/>
          <w:kern w:val="0"/>
          <w:sz w:val="32"/>
          <w:szCs w:val="32"/>
          <w:highlight w:val="none"/>
        </w:rPr>
      </w:pPr>
      <w:r>
        <w:rPr>
          <w:rFonts w:cs="Angsana New"/>
          <w:b/>
          <w:color w:val="auto"/>
          <w:kern w:val="0"/>
          <w:sz w:val="32"/>
          <w:szCs w:val="32"/>
          <w:highlight w:val="none"/>
          <w:lang w:bidi="ar"/>
        </w:rPr>
        <w:t xml:space="preserve"> </w:t>
      </w:r>
    </w:p>
    <w:p>
      <w:pPr>
        <w:pStyle w:val="15"/>
        <w:spacing w:before="240"/>
        <w:jc w:val="center"/>
        <w:rPr>
          <w:rFonts w:cs="Angsana New"/>
          <w:b/>
          <w:color w:val="auto"/>
          <w:kern w:val="0"/>
          <w:sz w:val="32"/>
          <w:szCs w:val="32"/>
          <w:highlight w:val="none"/>
          <w:lang w:bidi="ar"/>
        </w:rPr>
        <w:sectPr>
          <w:footerReference r:id="rId18" w:type="default"/>
          <w:pgSz w:w="11906" w:h="16838"/>
          <w:pgMar w:top="1418" w:right="1418" w:bottom="1418" w:left="1418" w:header="851" w:footer="992" w:gutter="0"/>
          <w:pgNumType w:fmt="decimal"/>
          <w:cols w:space="720" w:num="1"/>
          <w:docGrid w:type="lines" w:linePitch="312" w:charSpace="0"/>
        </w:sectPr>
      </w:pPr>
    </w:p>
    <w:p>
      <w:pPr>
        <w:pStyle w:val="10"/>
        <w:spacing w:line="300" w:lineRule="auto"/>
        <w:outlineLvl w:val="0"/>
        <w:rPr>
          <w:rFonts w:hint="eastAsia" w:ascii="Times New Roman" w:hAnsi="Times New Roman" w:cs="Angsana New"/>
          <w:b/>
          <w:color w:val="auto"/>
          <w:sz w:val="30"/>
          <w:szCs w:val="30"/>
          <w:highlight w:val="none"/>
          <w:lang w:bidi="ar"/>
        </w:rPr>
      </w:pPr>
      <w:bookmarkStart w:id="46" w:name="_Toc19917"/>
      <w:r>
        <w:rPr>
          <w:rFonts w:hint="eastAsia" w:ascii="Times New Roman" w:hAnsi="Times New Roman" w:cs="Angsana New"/>
          <w:b/>
          <w:color w:val="auto"/>
          <w:sz w:val="30"/>
          <w:szCs w:val="30"/>
          <w:highlight w:val="none"/>
          <w:lang w:bidi="ar"/>
        </w:rPr>
        <w:t>附件</w:t>
      </w:r>
      <w:r>
        <w:rPr>
          <w:rFonts w:ascii="Times New Roman" w:hAnsi="Times New Roman" w:cs="Angsana New"/>
          <w:b/>
          <w:color w:val="auto"/>
          <w:sz w:val="30"/>
          <w:szCs w:val="30"/>
          <w:highlight w:val="none"/>
          <w:lang w:bidi="ar"/>
        </w:rPr>
        <w:t>9</w:t>
      </w:r>
      <w:bookmarkEnd w:id="46"/>
    </w:p>
    <w:p>
      <w:pPr>
        <w:pStyle w:val="15"/>
        <w:spacing w:before="240"/>
        <w:jc w:val="center"/>
        <w:rPr>
          <w:rFonts w:hint="eastAsia" w:ascii="宋体" w:hAnsi="宋体" w:cs="宋体"/>
          <w:b/>
          <w:color w:val="auto"/>
          <w:kern w:val="0"/>
          <w:sz w:val="30"/>
          <w:szCs w:val="30"/>
          <w:highlight w:val="none"/>
        </w:rPr>
      </w:pPr>
      <w:r>
        <w:rPr>
          <w:rFonts w:hint="eastAsia" w:ascii="宋体" w:hAnsi="宋体" w:cs="宋体"/>
          <w:b/>
          <w:color w:val="auto"/>
          <w:kern w:val="0"/>
          <w:sz w:val="30"/>
          <w:szCs w:val="30"/>
          <w:highlight w:val="none"/>
          <w:lang w:bidi="ar"/>
        </w:rPr>
        <w:t>1.技术响应表格式</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850"/>
        <w:gridCol w:w="3969"/>
        <w:gridCol w:w="3544"/>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pStyle w:val="15"/>
              <w:keepNext w:val="0"/>
              <w:keepLines w:val="0"/>
              <w:suppressLineNumbers w:val="0"/>
              <w:spacing w:before="0" w:beforeAutospacing="0" w:after="0" w:afterAutospacing="0" w:line="240" w:lineRule="atLeast"/>
              <w:ind w:left="0" w:right="0"/>
              <w:jc w:val="center"/>
              <w:rPr>
                <w:rFonts w:hint="default" w:ascii="Times New Roman" w:hAnsi="Times New Roman" w:cs="Times New Roman"/>
                <w:bCs/>
                <w:color w:val="auto"/>
                <w:kern w:val="0"/>
                <w:sz w:val="20"/>
                <w:szCs w:val="20"/>
                <w:highlight w:val="none"/>
              </w:rPr>
            </w:pPr>
            <w:r>
              <w:rPr>
                <w:rFonts w:hint="default" w:ascii="Times New Roman" w:hAnsi="Times New Roman" w:cs="Times New Roman"/>
                <w:bCs/>
                <w:color w:val="auto"/>
                <w:kern w:val="0"/>
                <w:sz w:val="20"/>
                <w:szCs w:val="20"/>
                <w:highlight w:val="none"/>
                <w:lang w:bidi="ar"/>
              </w:rPr>
              <w:t>项号</w:t>
            </w:r>
          </w:p>
        </w:tc>
        <w:tc>
          <w:tcPr>
            <w:tcW w:w="850" w:type="dxa"/>
            <w:tcBorders>
              <w:top w:val="single" w:color="auto" w:sz="4" w:space="0"/>
              <w:left w:val="nil"/>
              <w:bottom w:val="single" w:color="auto" w:sz="4" w:space="0"/>
              <w:right w:val="single" w:color="auto" w:sz="4" w:space="0"/>
            </w:tcBorders>
            <w:noWrap w:val="0"/>
            <w:vAlign w:val="center"/>
          </w:tcPr>
          <w:p>
            <w:pPr>
              <w:pStyle w:val="15"/>
              <w:keepNext w:val="0"/>
              <w:keepLines w:val="0"/>
              <w:suppressLineNumbers w:val="0"/>
              <w:spacing w:before="0" w:beforeAutospacing="0" w:after="0" w:afterAutospacing="0" w:line="240" w:lineRule="atLeast"/>
              <w:ind w:left="0" w:right="0"/>
              <w:jc w:val="center"/>
              <w:rPr>
                <w:rFonts w:hint="default" w:ascii="Times New Roman" w:hAnsi="Times New Roman" w:cs="Times New Roman"/>
                <w:bCs/>
                <w:color w:val="auto"/>
                <w:kern w:val="0"/>
                <w:sz w:val="20"/>
                <w:szCs w:val="20"/>
                <w:highlight w:val="none"/>
              </w:rPr>
            </w:pPr>
            <w:r>
              <w:rPr>
                <w:rFonts w:hint="eastAsia" w:ascii="Times New Roman" w:hAnsi="Times New Roman" w:cs="Times New Roman"/>
                <w:bCs/>
                <w:color w:val="auto"/>
                <w:kern w:val="0"/>
                <w:sz w:val="20"/>
                <w:szCs w:val="20"/>
                <w:highlight w:val="none"/>
                <w:lang w:bidi="ar"/>
              </w:rPr>
              <w:t>项目服务</w:t>
            </w:r>
            <w:r>
              <w:rPr>
                <w:rFonts w:hint="default" w:ascii="Times New Roman" w:hAnsi="Times New Roman" w:cs="Times New Roman"/>
                <w:bCs/>
                <w:color w:val="auto"/>
                <w:kern w:val="0"/>
                <w:sz w:val="20"/>
                <w:szCs w:val="20"/>
                <w:highlight w:val="none"/>
                <w:lang w:bidi="ar"/>
              </w:rPr>
              <w:t>名称</w:t>
            </w:r>
          </w:p>
        </w:tc>
        <w:tc>
          <w:tcPr>
            <w:tcW w:w="3969" w:type="dxa"/>
            <w:tcBorders>
              <w:top w:val="single" w:color="auto" w:sz="4" w:space="0"/>
              <w:left w:val="nil"/>
              <w:bottom w:val="single" w:color="auto" w:sz="4" w:space="0"/>
              <w:right w:val="single" w:color="auto" w:sz="4" w:space="0"/>
            </w:tcBorders>
            <w:noWrap w:val="0"/>
            <w:vAlign w:val="center"/>
          </w:tcPr>
          <w:p>
            <w:pPr>
              <w:pStyle w:val="15"/>
              <w:keepNext w:val="0"/>
              <w:keepLines w:val="0"/>
              <w:suppressLineNumbers w:val="0"/>
              <w:spacing w:before="0" w:beforeAutospacing="0" w:after="0" w:afterAutospacing="0" w:line="240" w:lineRule="atLeast"/>
              <w:ind w:left="0" w:right="0"/>
              <w:jc w:val="center"/>
              <w:rPr>
                <w:rFonts w:hint="default" w:ascii="Times New Roman" w:hAnsi="Times New Roman" w:cs="Times New Roman"/>
                <w:b/>
                <w:color w:val="auto"/>
                <w:kern w:val="0"/>
                <w:sz w:val="20"/>
                <w:szCs w:val="20"/>
                <w:highlight w:val="none"/>
              </w:rPr>
            </w:pPr>
            <w:r>
              <w:rPr>
                <w:rFonts w:hint="eastAsia" w:ascii="Times New Roman" w:hAnsi="Times New Roman" w:cs="Times New Roman"/>
                <w:bCs/>
                <w:color w:val="auto"/>
                <w:kern w:val="0"/>
                <w:sz w:val="20"/>
                <w:szCs w:val="20"/>
                <w:highlight w:val="none"/>
                <w:lang w:bidi="ar"/>
              </w:rPr>
              <w:t>项目服务</w:t>
            </w:r>
            <w:r>
              <w:rPr>
                <w:rFonts w:hint="default" w:ascii="Times New Roman" w:hAnsi="Times New Roman" w:cs="Times New Roman"/>
                <w:bCs/>
                <w:color w:val="auto"/>
                <w:kern w:val="0"/>
                <w:sz w:val="20"/>
                <w:szCs w:val="20"/>
                <w:highlight w:val="none"/>
                <w:lang w:bidi="ar"/>
              </w:rPr>
              <w:t>竞标要求</w:t>
            </w:r>
          </w:p>
        </w:tc>
        <w:tc>
          <w:tcPr>
            <w:tcW w:w="3544" w:type="dxa"/>
            <w:tcBorders>
              <w:top w:val="single" w:color="auto" w:sz="4" w:space="0"/>
              <w:left w:val="nil"/>
              <w:bottom w:val="single" w:color="auto" w:sz="4" w:space="0"/>
              <w:right w:val="single" w:color="auto" w:sz="4" w:space="0"/>
            </w:tcBorders>
            <w:noWrap w:val="0"/>
            <w:vAlign w:val="center"/>
          </w:tcPr>
          <w:p>
            <w:pPr>
              <w:pStyle w:val="15"/>
              <w:keepNext w:val="0"/>
              <w:keepLines w:val="0"/>
              <w:suppressLineNumbers w:val="0"/>
              <w:spacing w:before="0" w:beforeAutospacing="0" w:after="0" w:afterAutospacing="0" w:line="240" w:lineRule="atLeast"/>
              <w:ind w:left="0" w:right="0"/>
              <w:jc w:val="center"/>
              <w:rPr>
                <w:rFonts w:hint="eastAsia" w:ascii="Times New Roman" w:hAnsi="Times New Roman" w:cs="Times New Roman"/>
                <w:b/>
                <w:color w:val="auto"/>
                <w:kern w:val="0"/>
                <w:sz w:val="20"/>
                <w:szCs w:val="20"/>
                <w:highlight w:val="none"/>
              </w:rPr>
            </w:pPr>
            <w:r>
              <w:rPr>
                <w:rFonts w:hint="eastAsia" w:ascii="Times New Roman" w:hAnsi="Times New Roman" w:cs="Times New Roman"/>
                <w:b/>
                <w:color w:val="auto"/>
                <w:kern w:val="0"/>
                <w:sz w:val="20"/>
                <w:szCs w:val="20"/>
                <w:highlight w:val="none"/>
              </w:rPr>
              <w:t>项目服务响应内容</w:t>
            </w:r>
          </w:p>
        </w:tc>
        <w:tc>
          <w:tcPr>
            <w:tcW w:w="735" w:type="dxa"/>
            <w:tcBorders>
              <w:top w:val="single" w:color="auto" w:sz="4" w:space="0"/>
              <w:left w:val="nil"/>
              <w:bottom w:val="single" w:color="auto" w:sz="4" w:space="0"/>
              <w:right w:val="single" w:color="auto" w:sz="4" w:space="0"/>
            </w:tcBorders>
            <w:noWrap w:val="0"/>
            <w:vAlign w:val="center"/>
          </w:tcPr>
          <w:p>
            <w:pPr>
              <w:pStyle w:val="15"/>
              <w:keepNext w:val="0"/>
              <w:keepLines w:val="0"/>
              <w:suppressLineNumbers w:val="0"/>
              <w:spacing w:before="0" w:beforeAutospacing="0" w:after="0" w:afterAutospacing="0" w:line="240" w:lineRule="atLeast"/>
              <w:ind w:left="0" w:right="0"/>
              <w:jc w:val="center"/>
              <w:rPr>
                <w:rFonts w:hint="default" w:ascii="Times New Roman" w:hAnsi="Times New Roman" w:cs="Times New Roman"/>
                <w:bCs/>
                <w:color w:val="auto"/>
                <w:kern w:val="0"/>
                <w:sz w:val="20"/>
                <w:szCs w:val="20"/>
                <w:highlight w:val="none"/>
              </w:rPr>
            </w:pPr>
            <w:r>
              <w:rPr>
                <w:rFonts w:hint="default" w:ascii="Times New Roman" w:hAnsi="Times New Roman" w:cs="Times New Roman"/>
                <w:bCs/>
                <w:color w:val="auto"/>
                <w:kern w:val="0"/>
                <w:sz w:val="20"/>
                <w:szCs w:val="20"/>
                <w:highlight w:val="none"/>
                <w:lang w:bidi="ar"/>
              </w:rPr>
              <w:t>偏离</w:t>
            </w:r>
            <w:r>
              <w:rPr>
                <w:rFonts w:hint="eastAsia" w:ascii="Times New Roman" w:hAnsi="Times New Roman" w:cs="Times New Roman"/>
                <w:bCs/>
                <w:color w:val="auto"/>
                <w:kern w:val="0"/>
                <w:sz w:val="20"/>
                <w:szCs w:val="20"/>
                <w:highlight w:val="none"/>
                <w:lang w:bidi="ar"/>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jc w:val="center"/>
              <w:rPr>
                <w:rFonts w:hint="eastAsia" w:ascii="宋体" w:hAnsi="宋体" w:cs="宋体"/>
                <w:color w:val="auto"/>
                <w:szCs w:val="21"/>
                <w:highlight w:val="none"/>
              </w:rPr>
            </w:pPr>
            <w:r>
              <w:rPr>
                <w:rFonts w:hint="eastAsia" w:ascii="宋体" w:hAnsi="宋体" w:cs="宋体"/>
                <w:color w:val="auto"/>
                <w:szCs w:val="21"/>
                <w:highlight w:val="none"/>
                <w:lang w:bidi="ar"/>
              </w:rPr>
              <w:t>1</w:t>
            </w:r>
          </w:p>
        </w:tc>
        <w:tc>
          <w:tcPr>
            <w:tcW w:w="85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jc w:val="center"/>
              <w:rPr>
                <w:rFonts w:hint="eastAsia" w:ascii="宋体" w:hAnsi="宋体" w:cs="宋体"/>
                <w:color w:val="auto"/>
                <w:szCs w:val="21"/>
                <w:highlight w:val="none"/>
              </w:rPr>
            </w:pPr>
          </w:p>
        </w:tc>
        <w:tc>
          <w:tcPr>
            <w:tcW w:w="3969" w:type="dxa"/>
            <w:tcBorders>
              <w:top w:val="single" w:color="auto" w:sz="4" w:space="0"/>
              <w:left w:val="nil"/>
              <w:bottom w:val="single" w:color="auto" w:sz="4" w:space="0"/>
              <w:right w:val="single" w:color="auto" w:sz="4" w:space="0"/>
            </w:tcBorders>
            <w:noWrap w:val="0"/>
            <w:vAlign w:val="center"/>
          </w:tcPr>
          <w:p>
            <w:pPr>
              <w:pStyle w:val="15"/>
              <w:keepNext w:val="0"/>
              <w:keepLines w:val="0"/>
              <w:suppressLineNumbers w:val="0"/>
              <w:spacing w:before="0" w:beforeAutospacing="0" w:after="0" w:afterAutospacing="0" w:line="240" w:lineRule="atLeast"/>
              <w:ind w:left="0" w:right="0"/>
              <w:jc w:val="center"/>
              <w:rPr>
                <w:rFonts w:hint="default" w:ascii="Times New Roman" w:hAnsi="Times New Roman" w:cs="Times New Roman"/>
                <w:b/>
                <w:color w:val="auto"/>
                <w:kern w:val="0"/>
                <w:sz w:val="21"/>
                <w:szCs w:val="21"/>
                <w:highlight w:val="none"/>
              </w:rPr>
            </w:pPr>
          </w:p>
        </w:tc>
        <w:tc>
          <w:tcPr>
            <w:tcW w:w="3544" w:type="dxa"/>
            <w:tcBorders>
              <w:top w:val="single" w:color="auto" w:sz="4" w:space="0"/>
              <w:left w:val="nil"/>
              <w:bottom w:val="single" w:color="auto" w:sz="4" w:space="0"/>
              <w:right w:val="single" w:color="auto" w:sz="4" w:space="0"/>
            </w:tcBorders>
            <w:noWrap w:val="0"/>
            <w:vAlign w:val="center"/>
          </w:tcPr>
          <w:p>
            <w:pPr>
              <w:pStyle w:val="15"/>
              <w:keepNext w:val="0"/>
              <w:keepLines w:val="0"/>
              <w:suppressLineNumbers w:val="0"/>
              <w:spacing w:before="240" w:beforeAutospacing="0" w:after="0" w:afterAutospacing="0" w:line="240" w:lineRule="atLeast"/>
              <w:ind w:left="0" w:right="0"/>
              <w:jc w:val="center"/>
              <w:rPr>
                <w:rFonts w:hint="default" w:ascii="Times New Roman" w:hAnsi="Times New Roman" w:cs="Times New Roman"/>
                <w:b/>
                <w:color w:val="auto"/>
                <w:kern w:val="0"/>
                <w:sz w:val="20"/>
                <w:szCs w:val="20"/>
                <w:highlight w:val="none"/>
              </w:rPr>
            </w:pPr>
          </w:p>
        </w:tc>
        <w:tc>
          <w:tcPr>
            <w:tcW w:w="735" w:type="dxa"/>
            <w:tcBorders>
              <w:top w:val="single" w:color="auto" w:sz="4" w:space="0"/>
              <w:left w:val="nil"/>
              <w:bottom w:val="single" w:color="auto" w:sz="4" w:space="0"/>
              <w:right w:val="single" w:color="auto" w:sz="4" w:space="0"/>
            </w:tcBorders>
            <w:noWrap w:val="0"/>
            <w:vAlign w:val="center"/>
          </w:tcPr>
          <w:p>
            <w:pPr>
              <w:pStyle w:val="15"/>
              <w:keepNext w:val="0"/>
              <w:keepLines w:val="0"/>
              <w:suppressLineNumbers w:val="0"/>
              <w:spacing w:before="240" w:beforeAutospacing="0" w:after="0" w:afterAutospacing="0" w:line="240" w:lineRule="atLeast"/>
              <w:ind w:left="0" w:right="0"/>
              <w:jc w:val="center"/>
              <w:rPr>
                <w:rFonts w:hint="default" w:ascii="Times New Roman" w:hAnsi="Times New Roman" w:cs="Times New Roman"/>
                <w:b/>
                <w:color w:val="auto"/>
                <w:kern w:val="0"/>
                <w:sz w:val="20"/>
                <w:szCs w:val="20"/>
                <w:highlight w:val="none"/>
              </w:rPr>
            </w:pPr>
            <w:r>
              <w:rPr>
                <w:rFonts w:hint="default" w:ascii="Times New Roman" w:hAnsi="Times New Roman" w:cs="Times New Roman"/>
                <w:bCs/>
                <w:color w:val="auto"/>
                <w:kern w:val="0"/>
                <w:sz w:val="20"/>
                <w:szCs w:val="20"/>
                <w:highlight w:val="none"/>
                <w:lang w:bidi="ar"/>
              </w:rPr>
              <w:t>偏离</w:t>
            </w:r>
            <w:r>
              <w:rPr>
                <w:rFonts w:hint="eastAsia" w:ascii="Times New Roman" w:hAnsi="Times New Roman" w:cs="Times New Roman"/>
                <w:bCs/>
                <w:color w:val="auto"/>
                <w:kern w:val="0"/>
                <w:sz w:val="20"/>
                <w:szCs w:val="20"/>
                <w:highlight w:val="none"/>
                <w:lang w:bidi="ar"/>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4" w:type="dxa"/>
            <w:vMerge w:val="restart"/>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jc w:val="center"/>
              <w:rPr>
                <w:rFonts w:hint="eastAsia" w:ascii="宋体" w:hAnsi="宋体" w:cs="宋体"/>
                <w:color w:val="auto"/>
                <w:szCs w:val="21"/>
                <w:highlight w:val="none"/>
              </w:rPr>
            </w:pPr>
            <w:r>
              <w:rPr>
                <w:rFonts w:hint="eastAsia" w:ascii="宋体" w:hAnsi="宋体" w:cs="宋体"/>
                <w:color w:val="auto"/>
                <w:szCs w:val="21"/>
                <w:highlight w:val="none"/>
                <w:lang w:bidi="ar"/>
              </w:rPr>
              <w:t>2</w:t>
            </w:r>
          </w:p>
        </w:tc>
        <w:tc>
          <w:tcPr>
            <w:tcW w:w="85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rPr>
                <w:rFonts w:hint="eastAsia" w:ascii="宋体" w:hAnsi="宋体" w:cs="宋体"/>
                <w:color w:val="auto"/>
                <w:szCs w:val="21"/>
                <w:highlight w:val="none"/>
              </w:rPr>
            </w:pPr>
          </w:p>
        </w:tc>
        <w:tc>
          <w:tcPr>
            <w:tcW w:w="3969" w:type="dxa"/>
            <w:tcBorders>
              <w:top w:val="single" w:color="auto" w:sz="4" w:space="0"/>
              <w:left w:val="nil"/>
              <w:bottom w:val="single" w:color="auto" w:sz="4" w:space="0"/>
              <w:right w:val="single" w:color="auto" w:sz="4" w:space="0"/>
            </w:tcBorders>
            <w:noWrap w:val="0"/>
            <w:vAlign w:val="center"/>
          </w:tcPr>
          <w:p>
            <w:pPr>
              <w:pStyle w:val="15"/>
              <w:keepNext w:val="0"/>
              <w:keepLines w:val="0"/>
              <w:suppressLineNumbers w:val="0"/>
              <w:spacing w:before="0" w:beforeAutospacing="0" w:after="0" w:afterAutospacing="0" w:line="240" w:lineRule="atLeast"/>
              <w:ind w:left="0" w:right="0"/>
              <w:jc w:val="center"/>
              <w:rPr>
                <w:rFonts w:hint="default" w:ascii="Times New Roman" w:hAnsi="Times New Roman" w:cs="Times New Roman"/>
                <w:b/>
                <w:color w:val="auto"/>
                <w:kern w:val="0"/>
                <w:sz w:val="20"/>
                <w:szCs w:val="20"/>
                <w:highlight w:val="none"/>
              </w:rPr>
            </w:pPr>
          </w:p>
        </w:tc>
        <w:tc>
          <w:tcPr>
            <w:tcW w:w="3544" w:type="dxa"/>
            <w:tcBorders>
              <w:top w:val="single" w:color="auto" w:sz="4" w:space="0"/>
              <w:left w:val="nil"/>
              <w:bottom w:val="single" w:color="auto" w:sz="4" w:space="0"/>
              <w:right w:val="single" w:color="auto" w:sz="4" w:space="0"/>
            </w:tcBorders>
            <w:noWrap w:val="0"/>
            <w:vAlign w:val="center"/>
          </w:tcPr>
          <w:p>
            <w:pPr>
              <w:pStyle w:val="15"/>
              <w:keepNext w:val="0"/>
              <w:keepLines w:val="0"/>
              <w:suppressLineNumbers w:val="0"/>
              <w:spacing w:before="0" w:beforeAutospacing="0" w:after="0" w:afterAutospacing="0" w:line="240" w:lineRule="atLeast"/>
              <w:ind w:left="0" w:right="0"/>
              <w:jc w:val="center"/>
              <w:rPr>
                <w:rFonts w:hint="default" w:ascii="Times New Roman" w:hAnsi="Times New Roman" w:cs="Times New Roman"/>
                <w:b/>
                <w:color w:val="auto"/>
                <w:kern w:val="0"/>
                <w:sz w:val="20"/>
                <w:szCs w:val="20"/>
                <w:highlight w:val="none"/>
              </w:rPr>
            </w:pPr>
          </w:p>
        </w:tc>
        <w:tc>
          <w:tcPr>
            <w:tcW w:w="735" w:type="dxa"/>
            <w:tcBorders>
              <w:top w:val="single" w:color="auto" w:sz="4" w:space="0"/>
              <w:left w:val="nil"/>
              <w:bottom w:val="single" w:color="auto" w:sz="4" w:space="0"/>
              <w:right w:val="single" w:color="auto" w:sz="4" w:space="0"/>
            </w:tcBorders>
            <w:noWrap w:val="0"/>
            <w:vAlign w:val="center"/>
          </w:tcPr>
          <w:p>
            <w:pPr>
              <w:pStyle w:val="15"/>
              <w:keepNext w:val="0"/>
              <w:keepLines w:val="0"/>
              <w:suppressLineNumbers w:val="0"/>
              <w:spacing w:before="0" w:beforeAutospacing="0" w:after="0" w:afterAutospacing="0" w:line="240" w:lineRule="atLeast"/>
              <w:ind w:left="0" w:right="0"/>
              <w:jc w:val="center"/>
              <w:rPr>
                <w:rFonts w:hint="default" w:ascii="Times New Roman" w:hAnsi="Times New Roman" w:cs="Times New Roman"/>
                <w:bCs/>
                <w:color w:val="auto"/>
                <w:kern w:val="0"/>
                <w:sz w:val="20"/>
                <w:szCs w:val="20"/>
                <w:highlight w:val="none"/>
              </w:rPr>
            </w:pPr>
            <w:r>
              <w:rPr>
                <w:rFonts w:hint="default" w:ascii="Times New Roman" w:hAnsi="Times New Roman" w:cs="Times New Roman"/>
                <w:bCs/>
                <w:color w:val="auto"/>
                <w:kern w:val="0"/>
                <w:sz w:val="20"/>
                <w:szCs w:val="20"/>
                <w:highlight w:val="none"/>
                <w:lang w:bidi="ar"/>
              </w:rPr>
              <w:t>偏离</w:t>
            </w:r>
            <w:r>
              <w:rPr>
                <w:rFonts w:hint="eastAsia" w:ascii="Times New Roman" w:hAnsi="Times New Roman" w:cs="Times New Roman"/>
                <w:bCs/>
                <w:color w:val="auto"/>
                <w:kern w:val="0"/>
                <w:sz w:val="20"/>
                <w:szCs w:val="20"/>
                <w:highlight w:val="none"/>
                <w:lang w:bidi="ar"/>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4"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85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rPr>
                <w:rFonts w:hint="eastAsia" w:ascii="宋体" w:hAnsi="宋体" w:cs="宋体"/>
                <w:color w:val="auto"/>
                <w:szCs w:val="21"/>
                <w:highlight w:val="none"/>
              </w:rPr>
            </w:pPr>
          </w:p>
        </w:tc>
        <w:tc>
          <w:tcPr>
            <w:tcW w:w="3969"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rPr>
                <w:rFonts w:hint="eastAsia" w:ascii="宋体" w:hAnsi="宋体" w:cs="宋体"/>
                <w:color w:val="auto"/>
                <w:szCs w:val="21"/>
                <w:highlight w:val="none"/>
              </w:rPr>
            </w:pPr>
          </w:p>
        </w:tc>
        <w:tc>
          <w:tcPr>
            <w:tcW w:w="3544" w:type="dxa"/>
            <w:tcBorders>
              <w:top w:val="single" w:color="auto" w:sz="4" w:space="0"/>
              <w:left w:val="nil"/>
              <w:bottom w:val="single" w:color="auto" w:sz="4" w:space="0"/>
              <w:right w:val="single" w:color="auto" w:sz="4" w:space="0"/>
            </w:tcBorders>
            <w:noWrap w:val="0"/>
            <w:vAlign w:val="center"/>
          </w:tcPr>
          <w:p>
            <w:pPr>
              <w:pStyle w:val="15"/>
              <w:keepNext w:val="0"/>
              <w:keepLines w:val="0"/>
              <w:suppressLineNumbers w:val="0"/>
              <w:spacing w:before="240" w:beforeAutospacing="0" w:after="0" w:afterAutospacing="0" w:line="240" w:lineRule="atLeast"/>
              <w:ind w:left="0" w:right="0"/>
              <w:jc w:val="center"/>
              <w:rPr>
                <w:rFonts w:hint="default" w:ascii="Times New Roman" w:hAnsi="Times New Roman" w:cs="Times New Roman"/>
                <w:b/>
                <w:color w:val="auto"/>
                <w:kern w:val="0"/>
                <w:sz w:val="20"/>
                <w:szCs w:val="20"/>
                <w:highlight w:val="none"/>
              </w:rPr>
            </w:pPr>
          </w:p>
        </w:tc>
        <w:tc>
          <w:tcPr>
            <w:tcW w:w="735" w:type="dxa"/>
            <w:tcBorders>
              <w:top w:val="single" w:color="auto" w:sz="4" w:space="0"/>
              <w:left w:val="nil"/>
              <w:bottom w:val="single" w:color="auto" w:sz="4" w:space="0"/>
              <w:right w:val="single" w:color="auto" w:sz="4" w:space="0"/>
            </w:tcBorders>
            <w:noWrap w:val="0"/>
            <w:vAlign w:val="center"/>
          </w:tcPr>
          <w:p>
            <w:pPr>
              <w:pStyle w:val="15"/>
              <w:keepNext w:val="0"/>
              <w:keepLines w:val="0"/>
              <w:suppressLineNumbers w:val="0"/>
              <w:spacing w:before="240" w:beforeAutospacing="0" w:after="0" w:afterAutospacing="0" w:line="240" w:lineRule="atLeast"/>
              <w:ind w:left="0" w:right="0"/>
              <w:jc w:val="center"/>
              <w:rPr>
                <w:rFonts w:hint="default" w:ascii="Times New Roman" w:hAnsi="Times New Roman" w:cs="Times New Roman"/>
                <w:b/>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4"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85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rPr>
                <w:rFonts w:hint="eastAsia" w:ascii="宋体" w:hAnsi="宋体" w:cs="宋体"/>
                <w:color w:val="auto"/>
                <w:szCs w:val="21"/>
                <w:highlight w:val="none"/>
              </w:rPr>
            </w:pPr>
          </w:p>
        </w:tc>
        <w:tc>
          <w:tcPr>
            <w:tcW w:w="3969"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rPr>
                <w:rFonts w:hint="eastAsia" w:ascii="宋体" w:hAnsi="宋体" w:cs="宋体"/>
                <w:color w:val="auto"/>
                <w:szCs w:val="21"/>
                <w:highlight w:val="none"/>
              </w:rPr>
            </w:pPr>
          </w:p>
        </w:tc>
        <w:tc>
          <w:tcPr>
            <w:tcW w:w="3544" w:type="dxa"/>
            <w:tcBorders>
              <w:top w:val="single" w:color="auto" w:sz="4" w:space="0"/>
              <w:left w:val="nil"/>
              <w:bottom w:val="single" w:color="auto" w:sz="4" w:space="0"/>
              <w:right w:val="single" w:color="auto" w:sz="4" w:space="0"/>
            </w:tcBorders>
            <w:noWrap w:val="0"/>
            <w:vAlign w:val="center"/>
          </w:tcPr>
          <w:p>
            <w:pPr>
              <w:pStyle w:val="15"/>
              <w:keepNext w:val="0"/>
              <w:keepLines w:val="0"/>
              <w:suppressLineNumbers w:val="0"/>
              <w:spacing w:before="240" w:beforeAutospacing="0" w:after="0" w:afterAutospacing="0" w:line="240" w:lineRule="atLeast"/>
              <w:ind w:left="0" w:right="0"/>
              <w:jc w:val="center"/>
              <w:rPr>
                <w:rFonts w:hint="default" w:ascii="Times New Roman" w:hAnsi="Times New Roman" w:cs="Times New Roman"/>
                <w:b/>
                <w:color w:val="auto"/>
                <w:kern w:val="0"/>
                <w:sz w:val="20"/>
                <w:szCs w:val="20"/>
                <w:highlight w:val="none"/>
              </w:rPr>
            </w:pPr>
          </w:p>
        </w:tc>
        <w:tc>
          <w:tcPr>
            <w:tcW w:w="735" w:type="dxa"/>
            <w:tcBorders>
              <w:top w:val="single" w:color="auto" w:sz="4" w:space="0"/>
              <w:left w:val="nil"/>
              <w:bottom w:val="single" w:color="auto" w:sz="4" w:space="0"/>
              <w:right w:val="single" w:color="auto" w:sz="4" w:space="0"/>
            </w:tcBorders>
            <w:noWrap w:val="0"/>
            <w:vAlign w:val="center"/>
          </w:tcPr>
          <w:p>
            <w:pPr>
              <w:pStyle w:val="15"/>
              <w:keepNext w:val="0"/>
              <w:keepLines w:val="0"/>
              <w:suppressLineNumbers w:val="0"/>
              <w:spacing w:before="240" w:beforeAutospacing="0" w:after="0" w:afterAutospacing="0" w:line="240" w:lineRule="atLeast"/>
              <w:ind w:left="0" w:right="0"/>
              <w:jc w:val="center"/>
              <w:rPr>
                <w:rFonts w:hint="default" w:ascii="Times New Roman" w:hAnsi="Times New Roman" w:cs="Times New Roman"/>
                <w:b/>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4"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85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rPr>
                <w:rFonts w:hint="eastAsia" w:ascii="宋体" w:hAnsi="宋体" w:cs="宋体"/>
                <w:color w:val="auto"/>
                <w:szCs w:val="21"/>
                <w:highlight w:val="none"/>
              </w:rPr>
            </w:pPr>
          </w:p>
        </w:tc>
        <w:tc>
          <w:tcPr>
            <w:tcW w:w="3969" w:type="dxa"/>
            <w:tcBorders>
              <w:top w:val="single" w:color="auto" w:sz="4" w:space="0"/>
              <w:left w:val="nil"/>
              <w:bottom w:val="single" w:color="auto" w:sz="4" w:space="0"/>
              <w:right w:val="single" w:color="auto" w:sz="4" w:space="0"/>
            </w:tcBorders>
            <w:noWrap w:val="0"/>
            <w:vAlign w:val="center"/>
          </w:tcPr>
          <w:p>
            <w:pPr>
              <w:pStyle w:val="15"/>
              <w:keepNext w:val="0"/>
              <w:keepLines w:val="0"/>
              <w:suppressLineNumbers w:val="0"/>
              <w:spacing w:before="0" w:beforeAutospacing="0" w:after="0" w:afterAutospacing="0" w:line="240" w:lineRule="atLeast"/>
              <w:ind w:left="0" w:right="0" w:firstLine="400" w:firstLineChars="200"/>
              <w:rPr>
                <w:rFonts w:hint="eastAsia" w:ascii="宋体" w:hAnsi="Courier New" w:cs="Courier New"/>
                <w:color w:val="auto"/>
                <w:kern w:val="0"/>
                <w:sz w:val="20"/>
                <w:szCs w:val="20"/>
                <w:highlight w:val="none"/>
              </w:rPr>
            </w:pPr>
          </w:p>
        </w:tc>
        <w:tc>
          <w:tcPr>
            <w:tcW w:w="3544" w:type="dxa"/>
            <w:tcBorders>
              <w:top w:val="single" w:color="auto" w:sz="4" w:space="0"/>
              <w:left w:val="nil"/>
              <w:bottom w:val="single" w:color="auto" w:sz="4" w:space="0"/>
              <w:right w:val="single" w:color="auto" w:sz="4" w:space="0"/>
            </w:tcBorders>
            <w:noWrap w:val="0"/>
            <w:vAlign w:val="center"/>
          </w:tcPr>
          <w:p>
            <w:pPr>
              <w:pStyle w:val="15"/>
              <w:keepNext w:val="0"/>
              <w:keepLines w:val="0"/>
              <w:suppressLineNumbers w:val="0"/>
              <w:spacing w:before="240" w:beforeAutospacing="0" w:after="0" w:afterAutospacing="0" w:line="240" w:lineRule="atLeast"/>
              <w:ind w:left="0" w:right="0"/>
              <w:jc w:val="center"/>
              <w:rPr>
                <w:rFonts w:hint="default" w:ascii="Times New Roman" w:hAnsi="Times New Roman" w:cs="Times New Roman"/>
                <w:b/>
                <w:color w:val="auto"/>
                <w:kern w:val="0"/>
                <w:sz w:val="20"/>
                <w:szCs w:val="20"/>
                <w:highlight w:val="none"/>
              </w:rPr>
            </w:pPr>
          </w:p>
        </w:tc>
        <w:tc>
          <w:tcPr>
            <w:tcW w:w="735" w:type="dxa"/>
            <w:tcBorders>
              <w:top w:val="single" w:color="auto" w:sz="4" w:space="0"/>
              <w:left w:val="nil"/>
              <w:bottom w:val="single" w:color="auto" w:sz="4" w:space="0"/>
              <w:right w:val="single" w:color="auto" w:sz="4" w:space="0"/>
            </w:tcBorders>
            <w:noWrap w:val="0"/>
            <w:vAlign w:val="center"/>
          </w:tcPr>
          <w:p>
            <w:pPr>
              <w:pStyle w:val="15"/>
              <w:keepNext w:val="0"/>
              <w:keepLines w:val="0"/>
              <w:suppressLineNumbers w:val="0"/>
              <w:spacing w:before="240" w:beforeAutospacing="0" w:after="0" w:afterAutospacing="0" w:line="240" w:lineRule="atLeast"/>
              <w:ind w:left="0" w:right="0"/>
              <w:jc w:val="center"/>
              <w:rPr>
                <w:rFonts w:hint="default" w:ascii="Times New Roman" w:hAnsi="Times New Roman" w:cs="Times New Roman"/>
                <w:b/>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4"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85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rPr>
                <w:rFonts w:hint="eastAsia" w:ascii="宋体" w:hAnsi="宋体" w:cs="宋体"/>
                <w:color w:val="auto"/>
                <w:szCs w:val="21"/>
                <w:highlight w:val="none"/>
              </w:rPr>
            </w:pPr>
          </w:p>
        </w:tc>
        <w:tc>
          <w:tcPr>
            <w:tcW w:w="3969"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rPr>
                <w:rFonts w:hint="eastAsia" w:ascii="宋体" w:hAnsi="宋体" w:cs="宋体"/>
                <w:color w:val="auto"/>
                <w:szCs w:val="21"/>
                <w:highlight w:val="none"/>
              </w:rPr>
            </w:pPr>
          </w:p>
        </w:tc>
        <w:tc>
          <w:tcPr>
            <w:tcW w:w="3544" w:type="dxa"/>
            <w:tcBorders>
              <w:top w:val="single" w:color="auto" w:sz="4" w:space="0"/>
              <w:left w:val="nil"/>
              <w:bottom w:val="single" w:color="auto" w:sz="4" w:space="0"/>
              <w:right w:val="single" w:color="auto" w:sz="4" w:space="0"/>
            </w:tcBorders>
            <w:noWrap w:val="0"/>
            <w:vAlign w:val="center"/>
          </w:tcPr>
          <w:p>
            <w:pPr>
              <w:pStyle w:val="15"/>
              <w:keepNext w:val="0"/>
              <w:keepLines w:val="0"/>
              <w:suppressLineNumbers w:val="0"/>
              <w:spacing w:before="240" w:beforeAutospacing="0" w:after="0" w:afterAutospacing="0" w:line="240" w:lineRule="atLeast"/>
              <w:ind w:left="0" w:right="0"/>
              <w:jc w:val="center"/>
              <w:rPr>
                <w:rFonts w:hint="default" w:ascii="Times New Roman" w:hAnsi="Times New Roman" w:cs="Times New Roman"/>
                <w:b/>
                <w:color w:val="auto"/>
                <w:kern w:val="0"/>
                <w:sz w:val="20"/>
                <w:szCs w:val="20"/>
                <w:highlight w:val="none"/>
              </w:rPr>
            </w:pPr>
          </w:p>
        </w:tc>
        <w:tc>
          <w:tcPr>
            <w:tcW w:w="735" w:type="dxa"/>
            <w:tcBorders>
              <w:top w:val="single" w:color="auto" w:sz="4" w:space="0"/>
              <w:left w:val="nil"/>
              <w:bottom w:val="single" w:color="auto" w:sz="4" w:space="0"/>
              <w:right w:val="single" w:color="auto" w:sz="4" w:space="0"/>
            </w:tcBorders>
            <w:noWrap w:val="0"/>
            <w:vAlign w:val="center"/>
          </w:tcPr>
          <w:p>
            <w:pPr>
              <w:pStyle w:val="15"/>
              <w:keepNext w:val="0"/>
              <w:keepLines w:val="0"/>
              <w:suppressLineNumbers w:val="0"/>
              <w:spacing w:before="240" w:beforeAutospacing="0" w:after="0" w:afterAutospacing="0" w:line="240" w:lineRule="atLeast"/>
              <w:ind w:left="0" w:right="0"/>
              <w:jc w:val="center"/>
              <w:rPr>
                <w:rFonts w:hint="default" w:ascii="Times New Roman" w:hAnsi="Times New Roman" w:cs="Times New Roman"/>
                <w:b/>
                <w:color w:val="auto"/>
                <w:kern w:val="0"/>
                <w:sz w:val="20"/>
                <w:szCs w:val="20"/>
                <w:highlight w:val="none"/>
              </w:rPr>
            </w:pPr>
          </w:p>
        </w:tc>
      </w:tr>
    </w:tbl>
    <w:p>
      <w:pPr>
        <w:pStyle w:val="15"/>
        <w:spacing w:line="240" w:lineRule="atLeast"/>
        <w:rPr>
          <w:rFonts w:hint="eastAsia" w:cs="Angsana New"/>
          <w:color w:val="auto"/>
          <w:kern w:val="0"/>
          <w:sz w:val="20"/>
          <w:szCs w:val="20"/>
          <w:highlight w:val="none"/>
        </w:rPr>
      </w:pPr>
      <w:r>
        <w:rPr>
          <w:rFonts w:hint="eastAsia" w:cs="Angsana New"/>
          <w:color w:val="auto"/>
          <w:kern w:val="0"/>
          <w:sz w:val="20"/>
          <w:szCs w:val="20"/>
          <w:highlight w:val="none"/>
          <w:lang w:bidi="ar"/>
        </w:rPr>
        <w:t xml:space="preserve"> </w:t>
      </w:r>
    </w:p>
    <w:p>
      <w:pPr>
        <w:pStyle w:val="15"/>
        <w:spacing w:line="240" w:lineRule="atLeast"/>
        <w:rPr>
          <w:rFonts w:cs="Angsana New"/>
          <w:color w:val="auto"/>
          <w:kern w:val="0"/>
          <w:sz w:val="20"/>
          <w:szCs w:val="20"/>
          <w:highlight w:val="none"/>
          <w:u w:val="single"/>
        </w:rPr>
      </w:pPr>
      <w:r>
        <w:rPr>
          <w:rFonts w:hint="eastAsia" w:ascii="宋体" w:hAnsi="宋体" w:cs="宋体"/>
          <w:color w:val="auto"/>
          <w:kern w:val="0"/>
          <w:sz w:val="20"/>
          <w:szCs w:val="20"/>
          <w:highlight w:val="none"/>
          <w:lang w:bidi="ar"/>
        </w:rPr>
        <w:t>供应商盖公章：</w:t>
      </w:r>
      <w:r>
        <w:rPr>
          <w:rFonts w:cs="Angsana New"/>
          <w:color w:val="auto"/>
          <w:kern w:val="0"/>
          <w:sz w:val="20"/>
          <w:szCs w:val="20"/>
          <w:highlight w:val="none"/>
          <w:u w:val="single"/>
          <w:lang w:bidi="ar"/>
        </w:rPr>
        <w:t xml:space="preserve">                </w:t>
      </w:r>
      <w:r>
        <w:rPr>
          <w:rFonts w:hint="eastAsia" w:ascii="宋体" w:hAnsi="宋体" w:cs="宋体"/>
          <w:color w:val="auto"/>
          <w:kern w:val="0"/>
          <w:sz w:val="20"/>
          <w:szCs w:val="20"/>
          <w:highlight w:val="none"/>
          <w:u w:val="single"/>
          <w:lang w:bidi="ar"/>
        </w:rPr>
        <w:t xml:space="preserve">        </w:t>
      </w:r>
      <w:r>
        <w:rPr>
          <w:rFonts w:cs="Angsana New"/>
          <w:color w:val="auto"/>
          <w:kern w:val="0"/>
          <w:sz w:val="20"/>
          <w:szCs w:val="20"/>
          <w:highlight w:val="none"/>
          <w:u w:val="single"/>
          <w:lang w:bidi="ar"/>
        </w:rPr>
        <w:t xml:space="preserve">    </w:t>
      </w:r>
    </w:p>
    <w:p>
      <w:pPr>
        <w:pStyle w:val="15"/>
        <w:spacing w:line="240" w:lineRule="atLeast"/>
        <w:rPr>
          <w:rFonts w:cs="Angsana New"/>
          <w:color w:val="auto"/>
          <w:kern w:val="0"/>
          <w:sz w:val="20"/>
          <w:szCs w:val="20"/>
          <w:highlight w:val="none"/>
          <w:u w:val="single"/>
        </w:rPr>
      </w:pPr>
      <w:r>
        <w:rPr>
          <w:rFonts w:hint="eastAsia" w:ascii="宋体" w:hAnsi="宋体" w:cs="宋体"/>
          <w:color w:val="auto"/>
          <w:kern w:val="0"/>
          <w:sz w:val="20"/>
          <w:szCs w:val="20"/>
          <w:highlight w:val="none"/>
          <w:lang w:bidi="ar"/>
        </w:rPr>
        <w:t>法定代表人（负责人）或委托代理人签字：</w:t>
      </w:r>
      <w:r>
        <w:rPr>
          <w:rFonts w:cs="Angsana New"/>
          <w:color w:val="auto"/>
          <w:kern w:val="0"/>
          <w:sz w:val="20"/>
          <w:szCs w:val="20"/>
          <w:highlight w:val="none"/>
          <w:u w:val="single"/>
          <w:lang w:bidi="ar"/>
        </w:rPr>
        <w:t xml:space="preserve">                    </w:t>
      </w:r>
      <w:r>
        <w:rPr>
          <w:rFonts w:hint="eastAsia" w:ascii="宋体" w:hAnsi="宋体" w:cs="宋体"/>
          <w:color w:val="auto"/>
          <w:kern w:val="0"/>
          <w:sz w:val="20"/>
          <w:szCs w:val="20"/>
          <w:highlight w:val="none"/>
          <w:u w:val="single"/>
          <w:lang w:bidi="ar"/>
        </w:rPr>
        <w:t xml:space="preserve"> </w:t>
      </w:r>
    </w:p>
    <w:p>
      <w:pPr>
        <w:pStyle w:val="15"/>
        <w:spacing w:line="240" w:lineRule="atLeast"/>
        <w:rPr>
          <w:rFonts w:cs="Angsana New"/>
          <w:color w:val="auto"/>
          <w:kern w:val="0"/>
          <w:sz w:val="20"/>
          <w:szCs w:val="20"/>
          <w:highlight w:val="none"/>
          <w:u w:val="single"/>
        </w:rPr>
      </w:pPr>
      <w:r>
        <w:rPr>
          <w:rFonts w:hint="eastAsia" w:ascii="宋体" w:hAnsi="宋体" w:cs="宋体"/>
          <w:color w:val="auto"/>
          <w:kern w:val="0"/>
          <w:sz w:val="20"/>
          <w:szCs w:val="20"/>
          <w:highlight w:val="none"/>
          <w:lang w:bidi="ar"/>
        </w:rPr>
        <w:t>日期：</w:t>
      </w:r>
      <w:r>
        <w:rPr>
          <w:rFonts w:cs="Angsana New"/>
          <w:color w:val="auto"/>
          <w:kern w:val="0"/>
          <w:sz w:val="20"/>
          <w:szCs w:val="20"/>
          <w:highlight w:val="none"/>
          <w:u w:val="single"/>
          <w:lang w:bidi="ar"/>
        </w:rPr>
        <w:t xml:space="preserve">                     </w:t>
      </w:r>
      <w:r>
        <w:rPr>
          <w:rFonts w:hint="eastAsia" w:ascii="宋体" w:hAnsi="宋体" w:cs="宋体"/>
          <w:color w:val="auto"/>
          <w:kern w:val="0"/>
          <w:sz w:val="20"/>
          <w:szCs w:val="20"/>
          <w:highlight w:val="none"/>
          <w:u w:val="single"/>
          <w:lang w:bidi="ar"/>
        </w:rPr>
        <w:t xml:space="preserve">   </w:t>
      </w:r>
      <w:r>
        <w:rPr>
          <w:rFonts w:hint="eastAsia" w:cs="Angsana New"/>
          <w:color w:val="auto"/>
          <w:kern w:val="0"/>
          <w:sz w:val="20"/>
          <w:szCs w:val="20"/>
          <w:highlight w:val="none"/>
          <w:u w:val="single"/>
          <w:lang w:bidi="ar"/>
        </w:rPr>
        <w:t xml:space="preserve"> </w:t>
      </w:r>
      <w:r>
        <w:rPr>
          <w:rFonts w:cs="Angsana New"/>
          <w:color w:val="auto"/>
          <w:kern w:val="0"/>
          <w:sz w:val="20"/>
          <w:szCs w:val="20"/>
          <w:highlight w:val="none"/>
          <w:u w:val="single"/>
          <w:lang w:bidi="ar"/>
        </w:rPr>
        <w:t xml:space="preserve">                </w:t>
      </w:r>
    </w:p>
    <w:p>
      <w:pPr>
        <w:pStyle w:val="15"/>
        <w:spacing w:line="240" w:lineRule="atLeast"/>
        <w:rPr>
          <w:rFonts w:ascii="宋体" w:hAnsi="宋体" w:cs="宋体"/>
          <w:b/>
          <w:color w:val="auto"/>
          <w:kern w:val="0"/>
          <w:sz w:val="20"/>
          <w:szCs w:val="20"/>
          <w:highlight w:val="none"/>
          <w:lang w:bidi="ar"/>
        </w:rPr>
      </w:pPr>
      <w:r>
        <w:rPr>
          <w:rFonts w:hint="eastAsia" w:ascii="宋体" w:hAnsi="宋体" w:cs="宋体"/>
          <w:b/>
          <w:color w:val="auto"/>
          <w:kern w:val="0"/>
          <w:sz w:val="20"/>
          <w:szCs w:val="20"/>
          <w:highlight w:val="none"/>
          <w:lang w:bidi="ar"/>
        </w:rPr>
        <w:t>注：</w:t>
      </w:r>
    </w:p>
    <w:p>
      <w:pPr>
        <w:pStyle w:val="15"/>
        <w:spacing w:line="240" w:lineRule="atLeast"/>
        <w:rPr>
          <w:rFonts w:cs="Angsana New"/>
          <w:b/>
          <w:color w:val="auto"/>
          <w:kern w:val="0"/>
          <w:sz w:val="20"/>
          <w:szCs w:val="20"/>
          <w:highlight w:val="none"/>
        </w:rPr>
      </w:pPr>
      <w:r>
        <w:rPr>
          <w:rFonts w:hint="eastAsia" w:ascii="宋体" w:hAnsi="宋体" w:cs="宋体"/>
          <w:b/>
          <w:color w:val="auto"/>
          <w:kern w:val="0"/>
          <w:sz w:val="20"/>
          <w:szCs w:val="20"/>
          <w:highlight w:val="none"/>
          <w:lang w:bidi="ar"/>
        </w:rPr>
        <w:t>根据第二章</w:t>
      </w:r>
      <w:r>
        <w:rPr>
          <w:rFonts w:ascii="宋体" w:hAnsi="宋体" w:cs="宋体"/>
          <w:b/>
          <w:color w:val="auto"/>
          <w:kern w:val="0"/>
          <w:sz w:val="20"/>
          <w:szCs w:val="20"/>
          <w:highlight w:val="none"/>
          <w:lang w:bidi="ar"/>
        </w:rPr>
        <w:t xml:space="preserve"> </w:t>
      </w:r>
      <w:r>
        <w:rPr>
          <w:rFonts w:hint="eastAsia" w:ascii="宋体" w:hAnsi="宋体" w:cs="宋体"/>
          <w:b/>
          <w:color w:val="auto"/>
          <w:kern w:val="0"/>
          <w:sz w:val="20"/>
          <w:szCs w:val="20"/>
          <w:highlight w:val="none"/>
          <w:lang w:bidi="ar"/>
        </w:rPr>
        <w:t>项目服务要求的项目服务内容填写：</w:t>
      </w:r>
    </w:p>
    <w:p>
      <w:pPr>
        <w:pStyle w:val="15"/>
        <w:spacing w:line="240" w:lineRule="atLeast"/>
        <w:ind w:left="420"/>
        <w:rPr>
          <w:rFonts w:hint="eastAsia" w:ascii="宋体" w:hAnsi="宋体" w:cs="Angsana New"/>
          <w:bCs/>
          <w:color w:val="auto"/>
          <w:kern w:val="0"/>
          <w:sz w:val="20"/>
          <w:szCs w:val="20"/>
          <w:highlight w:val="none"/>
        </w:rPr>
      </w:pPr>
      <w:r>
        <w:rPr>
          <w:rFonts w:hint="eastAsia" w:ascii="宋体" w:hAnsi="宋体" w:cs="宋体"/>
          <w:bCs/>
          <w:color w:val="auto"/>
          <w:kern w:val="0"/>
          <w:sz w:val="20"/>
          <w:szCs w:val="20"/>
          <w:highlight w:val="none"/>
          <w:lang w:bidi="ar"/>
        </w:rPr>
        <w:t>1、项目服务响应内容与竞标要求相同的为无偏离，项目服务响应内容高于竞标要求的为正偏离，低于竞标要求的为负偏离。</w:t>
      </w:r>
    </w:p>
    <w:p>
      <w:pPr>
        <w:pStyle w:val="15"/>
        <w:spacing w:line="240" w:lineRule="atLeast"/>
        <w:ind w:left="420"/>
        <w:rPr>
          <w:rFonts w:ascii="宋体" w:hAnsi="宋体" w:cs="宋体"/>
          <w:color w:val="auto"/>
          <w:kern w:val="0"/>
          <w:sz w:val="20"/>
          <w:szCs w:val="20"/>
          <w:highlight w:val="none"/>
          <w:lang w:bidi="ar"/>
        </w:rPr>
      </w:pPr>
      <w:r>
        <w:rPr>
          <w:rFonts w:hint="eastAsia" w:ascii="宋体" w:hAnsi="宋体" w:cs="宋体"/>
          <w:bCs/>
          <w:color w:val="auto"/>
          <w:kern w:val="0"/>
          <w:sz w:val="20"/>
          <w:szCs w:val="20"/>
          <w:highlight w:val="none"/>
          <w:lang w:bidi="ar"/>
        </w:rPr>
        <w:t>2、</w:t>
      </w:r>
      <w:r>
        <w:rPr>
          <w:rFonts w:hint="eastAsia" w:ascii="宋体" w:hAnsi="宋体" w:cs="宋体"/>
          <w:color w:val="auto"/>
          <w:kern w:val="0"/>
          <w:sz w:val="20"/>
          <w:szCs w:val="20"/>
          <w:highlight w:val="none"/>
          <w:lang w:bidi="ar"/>
        </w:rPr>
        <w:t>供应商应根据自身情况对照采购文件文件要求在“偏离情况”栏注明“正偏离”、“负偏离”或“无偏离”。</w:t>
      </w:r>
    </w:p>
    <w:p>
      <w:pPr>
        <w:pStyle w:val="15"/>
        <w:spacing w:line="240" w:lineRule="atLeast"/>
        <w:ind w:left="420"/>
        <w:rPr>
          <w:rFonts w:hint="eastAsia" w:ascii="宋体" w:hAnsi="宋体" w:cs="Angsana New"/>
          <w:bCs/>
          <w:color w:val="auto"/>
          <w:kern w:val="0"/>
          <w:sz w:val="20"/>
          <w:szCs w:val="20"/>
          <w:highlight w:val="none"/>
        </w:rPr>
      </w:pPr>
    </w:p>
    <w:p>
      <w:pPr>
        <w:pStyle w:val="10"/>
        <w:spacing w:line="300" w:lineRule="auto"/>
        <w:outlineLvl w:val="9"/>
        <w:rPr>
          <w:rFonts w:hint="eastAsia" w:ascii="Times New Roman" w:hAnsi="Times New Roman"/>
          <w:b/>
          <w:color w:val="auto"/>
          <w:highlight w:val="none"/>
        </w:rPr>
        <w:sectPr>
          <w:footerReference r:id="rId19" w:type="default"/>
          <w:pgSz w:w="11906" w:h="16838"/>
          <w:pgMar w:top="1418" w:right="1418" w:bottom="1418" w:left="1418" w:header="851" w:footer="992" w:gutter="0"/>
          <w:pgNumType w:fmt="decimal"/>
          <w:cols w:space="720" w:num="1"/>
          <w:docGrid w:type="lines" w:linePitch="312" w:charSpace="0"/>
        </w:sectPr>
      </w:pPr>
    </w:p>
    <w:p>
      <w:pPr>
        <w:pStyle w:val="10"/>
        <w:spacing w:line="300" w:lineRule="auto"/>
        <w:outlineLvl w:val="0"/>
        <w:rPr>
          <w:rFonts w:hint="eastAsia" w:ascii="Times New Roman" w:hAnsi="Times New Roman" w:cs="Angsana New"/>
          <w:b/>
          <w:color w:val="auto"/>
          <w:sz w:val="30"/>
          <w:szCs w:val="30"/>
          <w:highlight w:val="none"/>
          <w:lang w:bidi="ar"/>
        </w:rPr>
      </w:pPr>
      <w:bookmarkStart w:id="47" w:name="_Toc372"/>
      <w:r>
        <w:rPr>
          <w:rFonts w:hint="eastAsia" w:ascii="Times New Roman" w:hAnsi="Times New Roman" w:cs="Angsana New"/>
          <w:b/>
          <w:color w:val="auto"/>
          <w:sz w:val="30"/>
          <w:szCs w:val="30"/>
          <w:highlight w:val="none"/>
          <w:lang w:bidi="ar"/>
        </w:rPr>
        <w:t>附件</w:t>
      </w:r>
      <w:r>
        <w:rPr>
          <w:rFonts w:ascii="Times New Roman" w:hAnsi="Times New Roman" w:cs="Angsana New"/>
          <w:b/>
          <w:color w:val="auto"/>
          <w:sz w:val="30"/>
          <w:szCs w:val="30"/>
          <w:highlight w:val="none"/>
          <w:lang w:bidi="ar"/>
        </w:rPr>
        <w:t>10</w:t>
      </w:r>
      <w:bookmarkEnd w:id="47"/>
    </w:p>
    <w:p>
      <w:pPr>
        <w:pStyle w:val="15"/>
        <w:spacing w:before="240"/>
        <w:jc w:val="center"/>
        <w:rPr>
          <w:rFonts w:hint="eastAsia" w:ascii="宋体" w:hAnsi="宋体" w:cs="宋体"/>
          <w:b/>
          <w:color w:val="auto"/>
          <w:kern w:val="0"/>
          <w:sz w:val="30"/>
          <w:szCs w:val="30"/>
          <w:highlight w:val="none"/>
        </w:rPr>
      </w:pPr>
      <w:r>
        <w:rPr>
          <w:rFonts w:hint="eastAsia" w:ascii="宋体" w:hAnsi="宋体" w:cs="宋体"/>
          <w:b/>
          <w:color w:val="auto"/>
          <w:kern w:val="0"/>
          <w:sz w:val="30"/>
          <w:szCs w:val="30"/>
          <w:highlight w:val="none"/>
          <w:lang w:bidi="ar"/>
        </w:rPr>
        <w:t>2、服务承诺书格式</w:t>
      </w:r>
    </w:p>
    <w:p>
      <w:pPr>
        <w:pStyle w:val="15"/>
        <w:spacing w:before="240" w:line="360" w:lineRule="auto"/>
        <w:ind w:left="540" w:leftChars="257" w:right="998" w:rightChars="475" w:firstLine="400" w:firstLineChars="200"/>
        <w:jc w:val="center"/>
        <w:rPr>
          <w:rFonts w:cs="Angsana New"/>
          <w:b/>
          <w:color w:val="auto"/>
          <w:kern w:val="0"/>
          <w:sz w:val="30"/>
          <w:szCs w:val="30"/>
          <w:highlight w:val="none"/>
        </w:rPr>
      </w:pPr>
      <w:r>
        <w:rPr>
          <w:rFonts w:hint="eastAsia" w:ascii="宋体" w:hAnsi="宋体" w:cs="宋体"/>
          <w:color w:val="auto"/>
          <w:kern w:val="0"/>
          <w:sz w:val="20"/>
          <w:szCs w:val="20"/>
          <w:highlight w:val="none"/>
          <w:lang w:bidi="ar"/>
        </w:rPr>
        <w:t>（由供应商根据项目要求、评定成交的标准及自身情况自行编写）</w:t>
      </w:r>
    </w:p>
    <w:p>
      <w:pPr>
        <w:pStyle w:val="15"/>
        <w:spacing w:line="360" w:lineRule="auto"/>
        <w:ind w:left="420"/>
        <w:rPr>
          <w:rFonts w:hint="eastAsia" w:ascii="宋体" w:hAnsi="宋体" w:cs="Angsana New"/>
          <w:bCs/>
          <w:color w:val="auto"/>
          <w:kern w:val="0"/>
          <w:sz w:val="20"/>
          <w:szCs w:val="20"/>
          <w:highlight w:val="none"/>
        </w:rPr>
      </w:pPr>
      <w:r>
        <w:rPr>
          <w:rFonts w:hint="eastAsia" w:ascii="宋体" w:hAnsi="宋体" w:cs="Angsana New"/>
          <w:bCs/>
          <w:color w:val="auto"/>
          <w:kern w:val="0"/>
          <w:sz w:val="20"/>
          <w:szCs w:val="20"/>
          <w:highlight w:val="none"/>
          <w:lang w:bidi="ar"/>
        </w:rPr>
        <w:t xml:space="preserve"> </w:t>
      </w:r>
    </w:p>
    <w:p>
      <w:pPr>
        <w:pStyle w:val="15"/>
        <w:spacing w:line="360" w:lineRule="auto"/>
        <w:ind w:left="420"/>
        <w:rPr>
          <w:rFonts w:hint="eastAsia" w:ascii="宋体" w:hAnsi="宋体" w:cs="Angsana New"/>
          <w:bCs/>
          <w:color w:val="auto"/>
          <w:kern w:val="0"/>
          <w:sz w:val="20"/>
          <w:szCs w:val="20"/>
          <w:highlight w:val="none"/>
        </w:rPr>
      </w:pPr>
      <w:r>
        <w:rPr>
          <w:rFonts w:hint="eastAsia" w:ascii="宋体" w:hAnsi="宋体" w:cs="Angsana New"/>
          <w:bCs/>
          <w:color w:val="auto"/>
          <w:kern w:val="0"/>
          <w:sz w:val="20"/>
          <w:szCs w:val="20"/>
          <w:highlight w:val="none"/>
          <w:lang w:bidi="ar"/>
        </w:rPr>
        <w:t xml:space="preserve"> </w:t>
      </w:r>
    </w:p>
    <w:p>
      <w:pPr>
        <w:pStyle w:val="15"/>
        <w:spacing w:line="360" w:lineRule="auto"/>
        <w:ind w:left="420"/>
        <w:rPr>
          <w:rFonts w:hint="eastAsia" w:ascii="宋体" w:hAnsi="宋体" w:cs="Angsana New"/>
          <w:bCs/>
          <w:color w:val="auto"/>
          <w:kern w:val="0"/>
          <w:sz w:val="20"/>
          <w:szCs w:val="20"/>
          <w:highlight w:val="none"/>
        </w:rPr>
      </w:pPr>
      <w:r>
        <w:rPr>
          <w:rFonts w:hint="eastAsia" w:ascii="宋体" w:hAnsi="宋体" w:cs="Angsana New"/>
          <w:bCs/>
          <w:color w:val="auto"/>
          <w:kern w:val="0"/>
          <w:sz w:val="20"/>
          <w:szCs w:val="20"/>
          <w:highlight w:val="none"/>
          <w:lang w:bidi="ar"/>
        </w:rPr>
        <w:t xml:space="preserve"> </w:t>
      </w:r>
    </w:p>
    <w:p>
      <w:pPr>
        <w:pStyle w:val="15"/>
        <w:spacing w:line="360" w:lineRule="auto"/>
        <w:ind w:left="420"/>
        <w:rPr>
          <w:rFonts w:hint="eastAsia" w:ascii="宋体" w:hAnsi="宋体" w:cs="Angsana New"/>
          <w:bCs/>
          <w:color w:val="auto"/>
          <w:kern w:val="0"/>
          <w:sz w:val="20"/>
          <w:szCs w:val="20"/>
          <w:highlight w:val="none"/>
        </w:rPr>
      </w:pPr>
      <w:r>
        <w:rPr>
          <w:rFonts w:hint="eastAsia" w:ascii="宋体" w:hAnsi="宋体" w:cs="Angsana New"/>
          <w:bCs/>
          <w:color w:val="auto"/>
          <w:kern w:val="0"/>
          <w:sz w:val="20"/>
          <w:szCs w:val="20"/>
          <w:highlight w:val="none"/>
          <w:lang w:bidi="ar"/>
        </w:rPr>
        <w:t xml:space="preserve"> </w:t>
      </w:r>
    </w:p>
    <w:p>
      <w:pPr>
        <w:pStyle w:val="15"/>
        <w:spacing w:line="360" w:lineRule="auto"/>
        <w:ind w:left="420"/>
        <w:rPr>
          <w:rFonts w:hint="eastAsia" w:ascii="宋体" w:hAnsi="宋体" w:cs="Angsana New"/>
          <w:bCs/>
          <w:color w:val="auto"/>
          <w:kern w:val="0"/>
          <w:sz w:val="20"/>
          <w:szCs w:val="20"/>
          <w:highlight w:val="none"/>
        </w:rPr>
      </w:pPr>
      <w:r>
        <w:rPr>
          <w:rFonts w:hint="eastAsia" w:ascii="宋体" w:hAnsi="宋体" w:cs="Angsana New"/>
          <w:bCs/>
          <w:color w:val="auto"/>
          <w:kern w:val="0"/>
          <w:sz w:val="20"/>
          <w:szCs w:val="20"/>
          <w:highlight w:val="none"/>
          <w:lang w:bidi="ar"/>
        </w:rPr>
        <w:t xml:space="preserve"> </w:t>
      </w:r>
    </w:p>
    <w:p>
      <w:pPr>
        <w:pStyle w:val="15"/>
        <w:spacing w:line="360" w:lineRule="auto"/>
        <w:ind w:left="420"/>
        <w:rPr>
          <w:rFonts w:hint="eastAsia" w:ascii="宋体" w:hAnsi="宋体" w:cs="Angsana New"/>
          <w:bCs/>
          <w:color w:val="auto"/>
          <w:kern w:val="0"/>
          <w:sz w:val="20"/>
          <w:szCs w:val="20"/>
          <w:highlight w:val="none"/>
        </w:rPr>
      </w:pPr>
      <w:r>
        <w:rPr>
          <w:rFonts w:hint="eastAsia" w:ascii="宋体" w:hAnsi="宋体" w:cs="Angsana New"/>
          <w:bCs/>
          <w:color w:val="auto"/>
          <w:kern w:val="0"/>
          <w:sz w:val="20"/>
          <w:szCs w:val="20"/>
          <w:highlight w:val="none"/>
          <w:lang w:bidi="ar"/>
        </w:rPr>
        <w:t xml:space="preserve"> </w:t>
      </w:r>
    </w:p>
    <w:p>
      <w:pPr>
        <w:pStyle w:val="15"/>
        <w:spacing w:line="360" w:lineRule="auto"/>
        <w:ind w:left="420"/>
        <w:rPr>
          <w:rFonts w:hint="eastAsia" w:ascii="宋体" w:hAnsi="宋体" w:cs="Angsana New"/>
          <w:bCs/>
          <w:color w:val="auto"/>
          <w:kern w:val="0"/>
          <w:sz w:val="20"/>
          <w:szCs w:val="20"/>
          <w:highlight w:val="none"/>
        </w:rPr>
      </w:pPr>
      <w:r>
        <w:rPr>
          <w:rFonts w:hint="eastAsia" w:ascii="宋体" w:hAnsi="宋体" w:cs="Angsana New"/>
          <w:bCs/>
          <w:color w:val="auto"/>
          <w:kern w:val="0"/>
          <w:sz w:val="20"/>
          <w:szCs w:val="20"/>
          <w:highlight w:val="none"/>
          <w:lang w:bidi="ar"/>
        </w:rPr>
        <w:t xml:space="preserve"> </w:t>
      </w:r>
    </w:p>
    <w:p>
      <w:pPr>
        <w:pStyle w:val="15"/>
        <w:spacing w:line="360" w:lineRule="auto"/>
        <w:ind w:left="420"/>
        <w:rPr>
          <w:rFonts w:hint="eastAsia" w:ascii="宋体" w:hAnsi="宋体" w:cs="Angsana New"/>
          <w:bCs/>
          <w:color w:val="auto"/>
          <w:kern w:val="0"/>
          <w:sz w:val="20"/>
          <w:szCs w:val="20"/>
          <w:highlight w:val="none"/>
        </w:rPr>
      </w:pPr>
      <w:r>
        <w:rPr>
          <w:rFonts w:hint="eastAsia" w:ascii="宋体" w:hAnsi="宋体" w:cs="Angsana New"/>
          <w:bCs/>
          <w:color w:val="auto"/>
          <w:kern w:val="0"/>
          <w:sz w:val="20"/>
          <w:szCs w:val="20"/>
          <w:highlight w:val="none"/>
          <w:lang w:bidi="ar"/>
        </w:rPr>
        <w:t xml:space="preserve"> </w:t>
      </w:r>
    </w:p>
    <w:p>
      <w:pPr>
        <w:pStyle w:val="15"/>
        <w:spacing w:line="360" w:lineRule="auto"/>
        <w:ind w:left="420"/>
        <w:rPr>
          <w:rFonts w:hint="eastAsia" w:ascii="宋体" w:hAnsi="宋体" w:cs="Angsana New"/>
          <w:bCs/>
          <w:color w:val="auto"/>
          <w:kern w:val="0"/>
          <w:sz w:val="20"/>
          <w:szCs w:val="20"/>
          <w:highlight w:val="none"/>
        </w:rPr>
      </w:pPr>
      <w:r>
        <w:rPr>
          <w:rFonts w:hint="eastAsia" w:ascii="宋体" w:hAnsi="宋体" w:cs="Angsana New"/>
          <w:bCs/>
          <w:color w:val="auto"/>
          <w:kern w:val="0"/>
          <w:sz w:val="20"/>
          <w:szCs w:val="20"/>
          <w:highlight w:val="none"/>
          <w:lang w:bidi="ar"/>
        </w:rPr>
        <w:t xml:space="preserve"> </w:t>
      </w:r>
    </w:p>
    <w:p>
      <w:pPr>
        <w:pStyle w:val="15"/>
        <w:spacing w:line="360" w:lineRule="auto"/>
        <w:ind w:left="420"/>
        <w:rPr>
          <w:rFonts w:ascii="宋体" w:hAnsi="宋体" w:cs="Angsana New"/>
          <w:bCs/>
          <w:color w:val="auto"/>
          <w:kern w:val="0"/>
          <w:sz w:val="20"/>
          <w:szCs w:val="20"/>
          <w:highlight w:val="none"/>
        </w:rPr>
      </w:pPr>
      <w:r>
        <w:rPr>
          <w:rFonts w:hint="eastAsia" w:ascii="宋体" w:hAnsi="宋体" w:cs="Angsana New"/>
          <w:bCs/>
          <w:color w:val="auto"/>
          <w:kern w:val="0"/>
          <w:sz w:val="20"/>
          <w:szCs w:val="20"/>
          <w:highlight w:val="none"/>
          <w:lang w:bidi="ar"/>
        </w:rPr>
        <w:t xml:space="preserve"> </w:t>
      </w:r>
    </w:p>
    <w:p>
      <w:pPr>
        <w:pStyle w:val="15"/>
        <w:spacing w:line="360" w:lineRule="auto"/>
        <w:ind w:left="420"/>
        <w:rPr>
          <w:rFonts w:hint="eastAsia" w:ascii="宋体" w:hAnsi="宋体" w:cs="Angsana New"/>
          <w:bCs/>
          <w:color w:val="auto"/>
          <w:kern w:val="0"/>
          <w:sz w:val="20"/>
          <w:szCs w:val="20"/>
          <w:highlight w:val="none"/>
        </w:rPr>
      </w:pPr>
    </w:p>
    <w:p>
      <w:pPr>
        <w:pStyle w:val="15"/>
        <w:spacing w:line="360" w:lineRule="auto"/>
        <w:ind w:left="420"/>
        <w:rPr>
          <w:rFonts w:hint="eastAsia" w:ascii="宋体" w:hAnsi="宋体" w:cs="Angsana New"/>
          <w:bCs/>
          <w:color w:val="auto"/>
          <w:kern w:val="0"/>
          <w:sz w:val="20"/>
          <w:szCs w:val="20"/>
          <w:highlight w:val="none"/>
        </w:rPr>
      </w:pPr>
      <w:r>
        <w:rPr>
          <w:rFonts w:hint="eastAsia" w:ascii="宋体" w:hAnsi="宋体" w:cs="Angsana New"/>
          <w:bCs/>
          <w:color w:val="auto"/>
          <w:kern w:val="0"/>
          <w:sz w:val="20"/>
          <w:szCs w:val="20"/>
          <w:highlight w:val="none"/>
          <w:lang w:bidi="ar"/>
        </w:rPr>
        <w:t xml:space="preserve"> </w:t>
      </w:r>
    </w:p>
    <w:p>
      <w:pPr>
        <w:pStyle w:val="15"/>
        <w:jc w:val="center"/>
        <w:rPr>
          <w:rFonts w:cs="Angsana New"/>
          <w:color w:val="auto"/>
          <w:kern w:val="0"/>
          <w:sz w:val="20"/>
          <w:szCs w:val="20"/>
          <w:highlight w:val="none"/>
        </w:rPr>
      </w:pPr>
      <w:r>
        <w:rPr>
          <w:rFonts w:cs="Angsana New"/>
          <w:color w:val="auto"/>
          <w:kern w:val="0"/>
          <w:sz w:val="20"/>
          <w:szCs w:val="20"/>
          <w:highlight w:val="none"/>
          <w:lang w:bidi="ar"/>
        </w:rPr>
        <w:t xml:space="preserve"> </w:t>
      </w:r>
    </w:p>
    <w:p>
      <w:pPr>
        <w:pStyle w:val="15"/>
        <w:rPr>
          <w:rFonts w:cs="Angsana New"/>
          <w:color w:val="auto"/>
          <w:kern w:val="0"/>
          <w:sz w:val="20"/>
          <w:szCs w:val="20"/>
          <w:highlight w:val="none"/>
          <w:u w:val="single"/>
        </w:rPr>
      </w:pPr>
      <w:r>
        <w:rPr>
          <w:rFonts w:hint="eastAsia" w:ascii="宋体" w:hAnsi="宋体" w:cs="宋体"/>
          <w:color w:val="auto"/>
          <w:kern w:val="0"/>
          <w:sz w:val="20"/>
          <w:szCs w:val="20"/>
          <w:highlight w:val="none"/>
          <w:lang w:bidi="ar"/>
        </w:rPr>
        <w:t>供应商盖公章：</w:t>
      </w:r>
      <w:r>
        <w:rPr>
          <w:rFonts w:cs="Angsana New"/>
          <w:color w:val="auto"/>
          <w:kern w:val="0"/>
          <w:sz w:val="20"/>
          <w:szCs w:val="20"/>
          <w:highlight w:val="none"/>
          <w:u w:val="single"/>
          <w:lang w:bidi="ar"/>
        </w:rPr>
        <w:t xml:space="preserve">                </w:t>
      </w:r>
      <w:r>
        <w:rPr>
          <w:rFonts w:hint="eastAsia" w:ascii="宋体" w:hAnsi="宋体" w:cs="宋体"/>
          <w:color w:val="auto"/>
          <w:kern w:val="0"/>
          <w:sz w:val="20"/>
          <w:szCs w:val="20"/>
          <w:highlight w:val="none"/>
          <w:u w:val="single"/>
          <w:lang w:bidi="ar"/>
        </w:rPr>
        <w:t xml:space="preserve">        </w:t>
      </w:r>
      <w:r>
        <w:rPr>
          <w:rFonts w:cs="Angsana New"/>
          <w:color w:val="auto"/>
          <w:kern w:val="0"/>
          <w:sz w:val="20"/>
          <w:szCs w:val="20"/>
          <w:highlight w:val="none"/>
          <w:u w:val="single"/>
          <w:lang w:bidi="ar"/>
        </w:rPr>
        <w:t xml:space="preserve">    </w:t>
      </w:r>
    </w:p>
    <w:p>
      <w:pPr>
        <w:pStyle w:val="15"/>
        <w:rPr>
          <w:rFonts w:cs="Angsana New"/>
          <w:color w:val="auto"/>
          <w:kern w:val="0"/>
          <w:sz w:val="20"/>
          <w:szCs w:val="20"/>
          <w:highlight w:val="none"/>
        </w:rPr>
      </w:pPr>
      <w:r>
        <w:rPr>
          <w:rFonts w:cs="Angsana New"/>
          <w:color w:val="auto"/>
          <w:kern w:val="0"/>
          <w:sz w:val="20"/>
          <w:szCs w:val="20"/>
          <w:highlight w:val="none"/>
          <w:lang w:bidi="ar"/>
        </w:rPr>
        <w:t xml:space="preserve"> </w:t>
      </w:r>
    </w:p>
    <w:p>
      <w:pPr>
        <w:pStyle w:val="15"/>
        <w:rPr>
          <w:rFonts w:cs="Angsana New"/>
          <w:color w:val="auto"/>
          <w:kern w:val="0"/>
          <w:sz w:val="20"/>
          <w:szCs w:val="20"/>
          <w:highlight w:val="none"/>
          <w:u w:val="single"/>
        </w:rPr>
      </w:pPr>
      <w:r>
        <w:rPr>
          <w:rFonts w:hint="eastAsia" w:ascii="宋体" w:hAnsi="宋体" w:cs="宋体"/>
          <w:color w:val="auto"/>
          <w:kern w:val="0"/>
          <w:sz w:val="20"/>
          <w:szCs w:val="20"/>
          <w:highlight w:val="none"/>
          <w:lang w:bidi="ar"/>
        </w:rPr>
        <w:t>法定代表人（负责人）或委托代理人签字：</w:t>
      </w:r>
      <w:r>
        <w:rPr>
          <w:rFonts w:cs="Angsana New"/>
          <w:color w:val="auto"/>
          <w:kern w:val="0"/>
          <w:sz w:val="20"/>
          <w:szCs w:val="20"/>
          <w:highlight w:val="none"/>
          <w:u w:val="single"/>
          <w:lang w:bidi="ar"/>
        </w:rPr>
        <w:t xml:space="preserve">                    </w:t>
      </w:r>
      <w:r>
        <w:rPr>
          <w:rFonts w:hint="eastAsia" w:ascii="宋体" w:hAnsi="宋体" w:cs="宋体"/>
          <w:color w:val="auto"/>
          <w:kern w:val="0"/>
          <w:sz w:val="20"/>
          <w:szCs w:val="20"/>
          <w:highlight w:val="none"/>
          <w:u w:val="single"/>
          <w:lang w:bidi="ar"/>
        </w:rPr>
        <w:t xml:space="preserve"> </w:t>
      </w:r>
    </w:p>
    <w:p>
      <w:pPr>
        <w:pStyle w:val="15"/>
        <w:jc w:val="center"/>
        <w:rPr>
          <w:rFonts w:cs="Angsana New"/>
          <w:color w:val="auto"/>
          <w:kern w:val="0"/>
          <w:sz w:val="20"/>
          <w:szCs w:val="20"/>
          <w:highlight w:val="none"/>
          <w:u w:val="single"/>
        </w:rPr>
      </w:pPr>
      <w:r>
        <w:rPr>
          <w:rFonts w:cs="Angsana New"/>
          <w:color w:val="auto"/>
          <w:kern w:val="0"/>
          <w:sz w:val="20"/>
          <w:szCs w:val="20"/>
          <w:highlight w:val="none"/>
          <w:u w:val="single"/>
          <w:lang w:bidi="ar"/>
        </w:rPr>
        <w:t xml:space="preserve"> </w:t>
      </w:r>
    </w:p>
    <w:p>
      <w:pPr>
        <w:pStyle w:val="15"/>
        <w:rPr>
          <w:rFonts w:cs="Angsana New"/>
          <w:color w:val="auto"/>
          <w:kern w:val="0"/>
          <w:sz w:val="20"/>
          <w:szCs w:val="20"/>
          <w:highlight w:val="none"/>
          <w:u w:val="single"/>
          <w:lang w:bidi="ar"/>
        </w:rPr>
      </w:pPr>
      <w:r>
        <w:rPr>
          <w:rFonts w:hint="eastAsia" w:ascii="宋体" w:hAnsi="宋体" w:cs="宋体"/>
          <w:color w:val="auto"/>
          <w:kern w:val="0"/>
          <w:sz w:val="20"/>
          <w:szCs w:val="20"/>
          <w:highlight w:val="none"/>
          <w:lang w:bidi="ar"/>
        </w:rPr>
        <w:t>日期：</w:t>
      </w:r>
      <w:r>
        <w:rPr>
          <w:rFonts w:cs="Angsana New"/>
          <w:color w:val="auto"/>
          <w:kern w:val="0"/>
          <w:sz w:val="20"/>
          <w:szCs w:val="20"/>
          <w:highlight w:val="none"/>
          <w:u w:val="single"/>
          <w:lang w:bidi="ar"/>
        </w:rPr>
        <w:t xml:space="preserve">                     </w:t>
      </w:r>
      <w:r>
        <w:rPr>
          <w:rFonts w:hint="eastAsia" w:ascii="宋体" w:hAnsi="宋体" w:cs="宋体"/>
          <w:color w:val="auto"/>
          <w:kern w:val="0"/>
          <w:sz w:val="20"/>
          <w:szCs w:val="20"/>
          <w:highlight w:val="none"/>
          <w:u w:val="single"/>
          <w:lang w:bidi="ar"/>
        </w:rPr>
        <w:t xml:space="preserve">  </w:t>
      </w:r>
      <w:r>
        <w:rPr>
          <w:rFonts w:hint="eastAsia" w:cs="Angsana New"/>
          <w:color w:val="auto"/>
          <w:kern w:val="0"/>
          <w:sz w:val="20"/>
          <w:szCs w:val="20"/>
          <w:highlight w:val="none"/>
          <w:u w:val="single"/>
          <w:lang w:bidi="ar"/>
        </w:rPr>
        <w:t xml:space="preserve"> </w:t>
      </w:r>
      <w:r>
        <w:rPr>
          <w:rFonts w:hint="eastAsia" w:ascii="宋体" w:hAnsi="宋体" w:cs="宋体"/>
          <w:color w:val="auto"/>
          <w:kern w:val="0"/>
          <w:sz w:val="20"/>
          <w:szCs w:val="20"/>
          <w:highlight w:val="none"/>
          <w:u w:val="single"/>
          <w:lang w:bidi="ar"/>
        </w:rPr>
        <w:t xml:space="preserve"> </w:t>
      </w:r>
      <w:r>
        <w:rPr>
          <w:rFonts w:cs="Angsana New"/>
          <w:color w:val="auto"/>
          <w:kern w:val="0"/>
          <w:sz w:val="20"/>
          <w:szCs w:val="20"/>
          <w:highlight w:val="none"/>
          <w:u w:val="single"/>
          <w:lang w:bidi="ar"/>
        </w:rPr>
        <w:t xml:space="preserve">                </w:t>
      </w:r>
    </w:p>
    <w:p>
      <w:pPr>
        <w:pStyle w:val="15"/>
        <w:rPr>
          <w:rFonts w:hint="eastAsia" w:cs="Angsana New"/>
          <w:color w:val="auto"/>
          <w:kern w:val="0"/>
          <w:sz w:val="20"/>
          <w:szCs w:val="20"/>
          <w:highlight w:val="none"/>
          <w:u w:val="single"/>
        </w:rPr>
      </w:pPr>
    </w:p>
    <w:p>
      <w:pPr>
        <w:pStyle w:val="10"/>
        <w:spacing w:line="300" w:lineRule="auto"/>
        <w:outlineLvl w:val="9"/>
        <w:rPr>
          <w:rFonts w:hint="eastAsia" w:ascii="Times New Roman" w:hAnsi="Times New Roman"/>
          <w:b/>
          <w:color w:val="auto"/>
          <w:highlight w:val="none"/>
        </w:rPr>
        <w:sectPr>
          <w:footerReference r:id="rId20" w:type="default"/>
          <w:pgSz w:w="11906" w:h="16838"/>
          <w:pgMar w:top="1418" w:right="1418" w:bottom="1418" w:left="1418" w:header="851" w:footer="992" w:gutter="0"/>
          <w:pgNumType w:fmt="decimal"/>
          <w:cols w:space="720" w:num="1"/>
          <w:docGrid w:type="lines" w:linePitch="312" w:charSpace="0"/>
        </w:sectPr>
      </w:pPr>
    </w:p>
    <w:p>
      <w:pPr>
        <w:pStyle w:val="10"/>
        <w:spacing w:line="300" w:lineRule="auto"/>
        <w:outlineLvl w:val="0"/>
        <w:rPr>
          <w:rFonts w:hint="eastAsia" w:ascii="Times New Roman" w:hAnsi="Times New Roman" w:cs="Angsana New"/>
          <w:b/>
          <w:color w:val="auto"/>
          <w:sz w:val="30"/>
          <w:szCs w:val="30"/>
          <w:highlight w:val="none"/>
          <w:lang w:bidi="ar"/>
        </w:rPr>
      </w:pPr>
      <w:bookmarkStart w:id="48" w:name="_Toc807"/>
      <w:r>
        <w:rPr>
          <w:rFonts w:hint="eastAsia" w:ascii="Times New Roman" w:hAnsi="Times New Roman" w:cs="Angsana New"/>
          <w:b/>
          <w:color w:val="auto"/>
          <w:sz w:val="30"/>
          <w:szCs w:val="30"/>
          <w:highlight w:val="none"/>
          <w:lang w:bidi="ar"/>
        </w:rPr>
        <w:t>附件</w:t>
      </w:r>
      <w:r>
        <w:rPr>
          <w:rFonts w:ascii="Times New Roman" w:hAnsi="Times New Roman" w:cs="Angsana New"/>
          <w:b/>
          <w:color w:val="auto"/>
          <w:sz w:val="30"/>
          <w:szCs w:val="30"/>
          <w:highlight w:val="none"/>
          <w:lang w:bidi="ar"/>
        </w:rPr>
        <w:t>11</w:t>
      </w:r>
      <w:bookmarkEnd w:id="48"/>
    </w:p>
    <w:p>
      <w:pPr>
        <w:pStyle w:val="15"/>
        <w:spacing w:before="240"/>
        <w:jc w:val="center"/>
        <w:rPr>
          <w:rFonts w:hint="eastAsia" w:cs="Angsana New"/>
          <w:b/>
          <w:color w:val="auto"/>
          <w:kern w:val="0"/>
          <w:sz w:val="30"/>
          <w:szCs w:val="30"/>
          <w:highlight w:val="none"/>
        </w:rPr>
      </w:pPr>
      <w:r>
        <w:rPr>
          <w:b/>
          <w:color w:val="auto"/>
          <w:kern w:val="0"/>
          <w:sz w:val="30"/>
          <w:szCs w:val="30"/>
          <w:highlight w:val="none"/>
          <w:lang w:bidi="ar"/>
        </w:rPr>
        <w:t>3</w:t>
      </w:r>
      <w:r>
        <w:rPr>
          <w:rFonts w:hint="eastAsia" w:ascii="宋体" w:hAnsi="宋体" w:cs="宋体"/>
          <w:b/>
          <w:color w:val="auto"/>
          <w:kern w:val="0"/>
          <w:sz w:val="30"/>
          <w:szCs w:val="30"/>
          <w:highlight w:val="none"/>
          <w:lang w:bidi="ar"/>
        </w:rPr>
        <w:t>、技术方案</w:t>
      </w:r>
    </w:p>
    <w:p>
      <w:pPr>
        <w:pStyle w:val="15"/>
        <w:spacing w:before="240"/>
        <w:jc w:val="center"/>
        <w:rPr>
          <w:rFonts w:hint="eastAsia" w:cs="Angsana New"/>
          <w:b/>
          <w:color w:val="auto"/>
          <w:kern w:val="0"/>
          <w:sz w:val="30"/>
          <w:szCs w:val="30"/>
          <w:highlight w:val="none"/>
        </w:rPr>
      </w:pPr>
      <w:r>
        <w:rPr>
          <w:rFonts w:hint="eastAsia" w:ascii="宋体" w:hAnsi="宋体" w:cs="宋体"/>
          <w:color w:val="auto"/>
          <w:kern w:val="0"/>
          <w:sz w:val="20"/>
          <w:szCs w:val="20"/>
          <w:highlight w:val="none"/>
          <w:lang w:bidi="ar"/>
        </w:rPr>
        <w:t>（由供应商根据项目要求、评定成交的标准及自身情况自行编写）</w:t>
      </w:r>
    </w:p>
    <w:p>
      <w:pPr>
        <w:rPr>
          <w:rFonts w:hint="eastAsia" w:cs="宋体"/>
          <w:b/>
          <w:color w:val="auto"/>
          <w:sz w:val="36"/>
          <w:szCs w:val="36"/>
          <w:highlight w:val="none"/>
        </w:rPr>
      </w:pPr>
      <w:r>
        <w:rPr>
          <w:rFonts w:hint="eastAsia" w:cs="宋体"/>
          <w:b/>
          <w:color w:val="auto"/>
          <w:sz w:val="36"/>
          <w:szCs w:val="36"/>
          <w:highlight w:val="none"/>
          <w:lang w:bidi="ar"/>
        </w:rPr>
        <w:t xml:space="preserve"> </w:t>
      </w:r>
    </w:p>
    <w:p>
      <w:pPr>
        <w:pStyle w:val="15"/>
        <w:jc w:val="center"/>
        <w:rPr>
          <w:rFonts w:cs="Angsana New"/>
          <w:color w:val="auto"/>
          <w:kern w:val="0"/>
          <w:sz w:val="20"/>
          <w:szCs w:val="20"/>
          <w:highlight w:val="none"/>
          <w:lang w:bidi="ar"/>
        </w:rPr>
      </w:pPr>
    </w:p>
    <w:p>
      <w:pPr>
        <w:pStyle w:val="15"/>
        <w:jc w:val="center"/>
        <w:rPr>
          <w:rFonts w:cs="Angsana New"/>
          <w:color w:val="auto"/>
          <w:kern w:val="0"/>
          <w:sz w:val="20"/>
          <w:szCs w:val="20"/>
          <w:highlight w:val="none"/>
          <w:lang w:bidi="ar"/>
        </w:rPr>
      </w:pPr>
    </w:p>
    <w:p>
      <w:pPr>
        <w:pStyle w:val="15"/>
        <w:jc w:val="center"/>
        <w:rPr>
          <w:rFonts w:cs="Angsana New"/>
          <w:color w:val="auto"/>
          <w:kern w:val="0"/>
          <w:sz w:val="20"/>
          <w:szCs w:val="20"/>
          <w:highlight w:val="none"/>
          <w:lang w:bidi="ar"/>
        </w:rPr>
      </w:pPr>
    </w:p>
    <w:p>
      <w:pPr>
        <w:pStyle w:val="15"/>
        <w:jc w:val="center"/>
        <w:rPr>
          <w:rFonts w:cs="Angsana New"/>
          <w:color w:val="auto"/>
          <w:kern w:val="0"/>
          <w:sz w:val="20"/>
          <w:szCs w:val="20"/>
          <w:highlight w:val="none"/>
          <w:lang w:bidi="ar"/>
        </w:rPr>
      </w:pPr>
    </w:p>
    <w:p>
      <w:pPr>
        <w:pStyle w:val="15"/>
        <w:jc w:val="center"/>
        <w:rPr>
          <w:rFonts w:cs="Angsana New"/>
          <w:color w:val="auto"/>
          <w:kern w:val="0"/>
          <w:sz w:val="20"/>
          <w:szCs w:val="20"/>
          <w:highlight w:val="none"/>
          <w:lang w:bidi="ar"/>
        </w:rPr>
      </w:pPr>
    </w:p>
    <w:p>
      <w:pPr>
        <w:pStyle w:val="15"/>
        <w:jc w:val="center"/>
        <w:rPr>
          <w:rFonts w:cs="Angsana New"/>
          <w:color w:val="auto"/>
          <w:kern w:val="0"/>
          <w:sz w:val="20"/>
          <w:szCs w:val="20"/>
          <w:highlight w:val="none"/>
          <w:lang w:bidi="ar"/>
        </w:rPr>
      </w:pPr>
    </w:p>
    <w:p>
      <w:pPr>
        <w:pStyle w:val="15"/>
        <w:jc w:val="center"/>
        <w:rPr>
          <w:rFonts w:cs="Angsana New"/>
          <w:color w:val="auto"/>
          <w:kern w:val="0"/>
          <w:sz w:val="20"/>
          <w:szCs w:val="20"/>
          <w:highlight w:val="none"/>
          <w:lang w:bidi="ar"/>
        </w:rPr>
      </w:pPr>
    </w:p>
    <w:p>
      <w:pPr>
        <w:pStyle w:val="15"/>
        <w:jc w:val="center"/>
        <w:rPr>
          <w:rFonts w:cs="Angsana New"/>
          <w:color w:val="auto"/>
          <w:kern w:val="0"/>
          <w:sz w:val="20"/>
          <w:szCs w:val="20"/>
          <w:highlight w:val="none"/>
          <w:lang w:bidi="ar"/>
        </w:rPr>
      </w:pPr>
    </w:p>
    <w:p>
      <w:pPr>
        <w:pStyle w:val="15"/>
        <w:jc w:val="center"/>
        <w:rPr>
          <w:rFonts w:cs="Angsana New"/>
          <w:color w:val="auto"/>
          <w:kern w:val="0"/>
          <w:sz w:val="20"/>
          <w:szCs w:val="20"/>
          <w:highlight w:val="none"/>
          <w:lang w:bidi="ar"/>
        </w:rPr>
      </w:pPr>
    </w:p>
    <w:p>
      <w:pPr>
        <w:pStyle w:val="15"/>
        <w:jc w:val="center"/>
        <w:rPr>
          <w:rFonts w:cs="Angsana New"/>
          <w:color w:val="auto"/>
          <w:kern w:val="0"/>
          <w:sz w:val="20"/>
          <w:szCs w:val="20"/>
          <w:highlight w:val="none"/>
          <w:lang w:bidi="ar"/>
        </w:rPr>
      </w:pPr>
    </w:p>
    <w:p>
      <w:pPr>
        <w:pStyle w:val="15"/>
        <w:jc w:val="center"/>
        <w:rPr>
          <w:rFonts w:cs="Angsana New"/>
          <w:color w:val="auto"/>
          <w:kern w:val="0"/>
          <w:sz w:val="20"/>
          <w:szCs w:val="20"/>
          <w:highlight w:val="none"/>
          <w:lang w:bidi="ar"/>
        </w:rPr>
      </w:pPr>
    </w:p>
    <w:p>
      <w:pPr>
        <w:pStyle w:val="15"/>
        <w:jc w:val="center"/>
        <w:rPr>
          <w:rFonts w:cs="Angsana New"/>
          <w:color w:val="auto"/>
          <w:kern w:val="0"/>
          <w:sz w:val="20"/>
          <w:szCs w:val="20"/>
          <w:highlight w:val="none"/>
          <w:lang w:bidi="ar"/>
        </w:rPr>
      </w:pPr>
    </w:p>
    <w:p>
      <w:pPr>
        <w:pStyle w:val="15"/>
        <w:jc w:val="center"/>
        <w:rPr>
          <w:rFonts w:cs="Angsana New"/>
          <w:color w:val="auto"/>
          <w:kern w:val="0"/>
          <w:sz w:val="20"/>
          <w:szCs w:val="20"/>
          <w:highlight w:val="none"/>
          <w:lang w:bidi="ar"/>
        </w:rPr>
      </w:pPr>
    </w:p>
    <w:p>
      <w:pPr>
        <w:pStyle w:val="15"/>
        <w:jc w:val="center"/>
        <w:rPr>
          <w:rFonts w:cs="Angsana New"/>
          <w:color w:val="auto"/>
          <w:kern w:val="0"/>
          <w:sz w:val="20"/>
          <w:szCs w:val="20"/>
          <w:highlight w:val="none"/>
          <w:lang w:bidi="ar"/>
        </w:rPr>
      </w:pPr>
    </w:p>
    <w:p>
      <w:pPr>
        <w:pStyle w:val="15"/>
        <w:jc w:val="center"/>
        <w:rPr>
          <w:rFonts w:cs="Angsana New"/>
          <w:color w:val="auto"/>
          <w:kern w:val="0"/>
          <w:sz w:val="20"/>
          <w:szCs w:val="20"/>
          <w:highlight w:val="none"/>
          <w:lang w:bidi="ar"/>
        </w:rPr>
      </w:pPr>
    </w:p>
    <w:p>
      <w:pPr>
        <w:pStyle w:val="15"/>
        <w:jc w:val="center"/>
        <w:rPr>
          <w:rFonts w:cs="Angsana New"/>
          <w:color w:val="auto"/>
          <w:kern w:val="0"/>
          <w:sz w:val="20"/>
          <w:szCs w:val="20"/>
          <w:highlight w:val="none"/>
          <w:lang w:bidi="ar"/>
        </w:rPr>
      </w:pPr>
    </w:p>
    <w:p>
      <w:pPr>
        <w:pStyle w:val="15"/>
        <w:jc w:val="center"/>
        <w:rPr>
          <w:rFonts w:cs="Angsana New"/>
          <w:color w:val="auto"/>
          <w:kern w:val="0"/>
          <w:sz w:val="20"/>
          <w:szCs w:val="20"/>
          <w:highlight w:val="none"/>
          <w:lang w:bidi="ar"/>
        </w:rPr>
      </w:pPr>
    </w:p>
    <w:p>
      <w:pPr>
        <w:pStyle w:val="15"/>
        <w:jc w:val="center"/>
        <w:rPr>
          <w:rFonts w:cs="Angsana New"/>
          <w:color w:val="auto"/>
          <w:kern w:val="0"/>
          <w:sz w:val="20"/>
          <w:szCs w:val="20"/>
          <w:highlight w:val="none"/>
          <w:lang w:bidi="ar"/>
        </w:rPr>
      </w:pPr>
    </w:p>
    <w:p>
      <w:pPr>
        <w:pStyle w:val="15"/>
        <w:jc w:val="center"/>
        <w:rPr>
          <w:rFonts w:cs="Angsana New"/>
          <w:color w:val="auto"/>
          <w:kern w:val="0"/>
          <w:sz w:val="20"/>
          <w:szCs w:val="20"/>
          <w:highlight w:val="none"/>
          <w:lang w:bidi="ar"/>
        </w:rPr>
      </w:pPr>
    </w:p>
    <w:p>
      <w:pPr>
        <w:pStyle w:val="15"/>
        <w:jc w:val="center"/>
        <w:rPr>
          <w:rFonts w:cs="Angsana New"/>
          <w:color w:val="auto"/>
          <w:kern w:val="0"/>
          <w:sz w:val="20"/>
          <w:szCs w:val="20"/>
          <w:highlight w:val="none"/>
          <w:lang w:bidi="ar"/>
        </w:rPr>
      </w:pPr>
    </w:p>
    <w:p>
      <w:pPr>
        <w:pStyle w:val="15"/>
        <w:jc w:val="center"/>
        <w:rPr>
          <w:rFonts w:cs="Angsana New"/>
          <w:color w:val="auto"/>
          <w:kern w:val="0"/>
          <w:sz w:val="20"/>
          <w:szCs w:val="20"/>
          <w:highlight w:val="none"/>
          <w:lang w:bidi="ar"/>
        </w:rPr>
      </w:pPr>
    </w:p>
    <w:p>
      <w:pPr>
        <w:pStyle w:val="15"/>
        <w:jc w:val="center"/>
        <w:rPr>
          <w:rFonts w:cs="Angsana New"/>
          <w:color w:val="auto"/>
          <w:kern w:val="0"/>
          <w:sz w:val="20"/>
          <w:szCs w:val="20"/>
          <w:highlight w:val="none"/>
          <w:lang w:bidi="ar"/>
        </w:rPr>
      </w:pPr>
    </w:p>
    <w:p>
      <w:pPr>
        <w:pStyle w:val="15"/>
        <w:jc w:val="center"/>
        <w:rPr>
          <w:rFonts w:cs="Angsana New"/>
          <w:color w:val="auto"/>
          <w:kern w:val="0"/>
          <w:sz w:val="20"/>
          <w:szCs w:val="20"/>
          <w:highlight w:val="none"/>
          <w:lang w:bidi="ar"/>
        </w:rPr>
      </w:pPr>
    </w:p>
    <w:p>
      <w:pPr>
        <w:pStyle w:val="15"/>
        <w:jc w:val="center"/>
        <w:rPr>
          <w:rFonts w:cs="Angsana New"/>
          <w:color w:val="auto"/>
          <w:kern w:val="0"/>
          <w:sz w:val="20"/>
          <w:szCs w:val="20"/>
          <w:highlight w:val="none"/>
          <w:lang w:bidi="ar"/>
        </w:rPr>
      </w:pPr>
    </w:p>
    <w:p>
      <w:pPr>
        <w:pStyle w:val="15"/>
        <w:jc w:val="center"/>
        <w:rPr>
          <w:rFonts w:cs="Angsana New"/>
          <w:color w:val="auto"/>
          <w:kern w:val="0"/>
          <w:sz w:val="20"/>
          <w:szCs w:val="20"/>
          <w:highlight w:val="none"/>
          <w:lang w:bidi="ar"/>
        </w:rPr>
      </w:pPr>
    </w:p>
    <w:p>
      <w:pPr>
        <w:pStyle w:val="15"/>
        <w:jc w:val="center"/>
        <w:rPr>
          <w:rFonts w:cs="Angsana New"/>
          <w:color w:val="auto"/>
          <w:kern w:val="0"/>
          <w:sz w:val="20"/>
          <w:szCs w:val="20"/>
          <w:highlight w:val="none"/>
          <w:lang w:bidi="ar"/>
        </w:rPr>
      </w:pPr>
    </w:p>
    <w:p>
      <w:pPr>
        <w:pStyle w:val="15"/>
        <w:jc w:val="center"/>
        <w:rPr>
          <w:rFonts w:cs="Angsana New"/>
          <w:color w:val="auto"/>
          <w:kern w:val="0"/>
          <w:sz w:val="20"/>
          <w:szCs w:val="20"/>
          <w:highlight w:val="none"/>
          <w:lang w:bidi="ar"/>
        </w:rPr>
      </w:pPr>
    </w:p>
    <w:p>
      <w:pPr>
        <w:pStyle w:val="15"/>
        <w:jc w:val="center"/>
        <w:rPr>
          <w:rFonts w:cs="Angsana New"/>
          <w:color w:val="auto"/>
          <w:kern w:val="0"/>
          <w:sz w:val="20"/>
          <w:szCs w:val="20"/>
          <w:highlight w:val="none"/>
          <w:lang w:bidi="ar"/>
        </w:rPr>
      </w:pPr>
    </w:p>
    <w:p>
      <w:pPr>
        <w:pStyle w:val="15"/>
        <w:jc w:val="center"/>
        <w:rPr>
          <w:rFonts w:cs="Angsana New"/>
          <w:color w:val="auto"/>
          <w:kern w:val="0"/>
          <w:sz w:val="20"/>
          <w:szCs w:val="20"/>
          <w:highlight w:val="none"/>
          <w:lang w:bidi="ar"/>
        </w:rPr>
      </w:pPr>
    </w:p>
    <w:p>
      <w:pPr>
        <w:pStyle w:val="15"/>
        <w:jc w:val="center"/>
        <w:rPr>
          <w:rFonts w:cs="Angsana New"/>
          <w:color w:val="auto"/>
          <w:kern w:val="0"/>
          <w:sz w:val="20"/>
          <w:szCs w:val="20"/>
          <w:highlight w:val="none"/>
          <w:lang w:bidi="ar"/>
        </w:rPr>
      </w:pPr>
    </w:p>
    <w:p>
      <w:pPr>
        <w:pStyle w:val="15"/>
        <w:jc w:val="center"/>
        <w:rPr>
          <w:rFonts w:cs="Angsana New"/>
          <w:color w:val="auto"/>
          <w:kern w:val="0"/>
          <w:sz w:val="20"/>
          <w:szCs w:val="20"/>
          <w:highlight w:val="none"/>
          <w:lang w:bidi="ar"/>
        </w:rPr>
      </w:pPr>
    </w:p>
    <w:p>
      <w:pPr>
        <w:pStyle w:val="15"/>
        <w:jc w:val="center"/>
        <w:rPr>
          <w:rFonts w:cs="Angsana New"/>
          <w:color w:val="auto"/>
          <w:kern w:val="0"/>
          <w:sz w:val="20"/>
          <w:szCs w:val="20"/>
          <w:highlight w:val="none"/>
          <w:lang w:bidi="ar"/>
        </w:rPr>
      </w:pPr>
    </w:p>
    <w:p>
      <w:pPr>
        <w:pStyle w:val="15"/>
        <w:jc w:val="center"/>
        <w:rPr>
          <w:rFonts w:cs="Angsana New"/>
          <w:color w:val="auto"/>
          <w:kern w:val="0"/>
          <w:sz w:val="20"/>
          <w:szCs w:val="20"/>
          <w:highlight w:val="none"/>
          <w:lang w:bidi="ar"/>
        </w:rPr>
      </w:pPr>
    </w:p>
    <w:p>
      <w:pPr>
        <w:pStyle w:val="15"/>
        <w:jc w:val="center"/>
        <w:rPr>
          <w:rFonts w:cs="Angsana New"/>
          <w:color w:val="auto"/>
          <w:kern w:val="0"/>
          <w:sz w:val="20"/>
          <w:szCs w:val="20"/>
          <w:highlight w:val="none"/>
        </w:rPr>
      </w:pPr>
      <w:r>
        <w:rPr>
          <w:rFonts w:cs="Angsana New"/>
          <w:color w:val="auto"/>
          <w:kern w:val="0"/>
          <w:sz w:val="20"/>
          <w:szCs w:val="20"/>
          <w:highlight w:val="none"/>
          <w:lang w:bidi="ar"/>
        </w:rPr>
        <w:t xml:space="preserve"> </w:t>
      </w:r>
    </w:p>
    <w:p>
      <w:pPr>
        <w:pStyle w:val="15"/>
        <w:spacing w:line="360" w:lineRule="auto"/>
        <w:ind w:left="420"/>
        <w:rPr>
          <w:rFonts w:hint="eastAsia" w:ascii="宋体" w:hAnsi="宋体" w:cs="Angsana New"/>
          <w:bCs/>
          <w:color w:val="auto"/>
          <w:kern w:val="0"/>
          <w:sz w:val="20"/>
          <w:szCs w:val="20"/>
          <w:highlight w:val="none"/>
        </w:rPr>
      </w:pPr>
      <w:r>
        <w:rPr>
          <w:rFonts w:hint="eastAsia" w:ascii="宋体" w:hAnsi="宋体" w:cs="Angsana New"/>
          <w:bCs/>
          <w:color w:val="auto"/>
          <w:kern w:val="0"/>
          <w:sz w:val="20"/>
          <w:szCs w:val="20"/>
          <w:highlight w:val="none"/>
          <w:lang w:bidi="ar"/>
        </w:rPr>
        <w:t xml:space="preserve"> </w:t>
      </w:r>
    </w:p>
    <w:p>
      <w:pPr>
        <w:pStyle w:val="10"/>
        <w:spacing w:line="300" w:lineRule="auto"/>
        <w:outlineLvl w:val="0"/>
        <w:rPr>
          <w:rFonts w:cs="Angsana New"/>
          <w:b/>
          <w:color w:val="auto"/>
          <w:sz w:val="30"/>
          <w:szCs w:val="30"/>
          <w:highlight w:val="none"/>
          <w:lang w:bidi="ar"/>
        </w:rPr>
      </w:pPr>
      <w:bookmarkStart w:id="49" w:name="_Toc11780"/>
      <w:r>
        <w:rPr>
          <w:rFonts w:hint="eastAsia" w:ascii="Times New Roman" w:hAnsi="Times New Roman" w:cs="Angsana New"/>
          <w:b/>
          <w:color w:val="auto"/>
          <w:sz w:val="30"/>
          <w:szCs w:val="30"/>
          <w:highlight w:val="none"/>
          <w:lang w:bidi="ar"/>
        </w:rPr>
        <w:t>附件1</w:t>
      </w:r>
      <w:r>
        <w:rPr>
          <w:rFonts w:ascii="Times New Roman" w:hAnsi="Times New Roman" w:cs="Angsana New"/>
          <w:b/>
          <w:color w:val="auto"/>
          <w:sz w:val="30"/>
          <w:szCs w:val="30"/>
          <w:highlight w:val="none"/>
          <w:lang w:bidi="ar"/>
        </w:rPr>
        <w:t>2</w:t>
      </w:r>
      <w:bookmarkEnd w:id="49"/>
    </w:p>
    <w:p>
      <w:pPr>
        <w:pStyle w:val="15"/>
        <w:spacing w:before="240"/>
        <w:jc w:val="center"/>
        <w:rPr>
          <w:rFonts w:hint="eastAsia" w:cs="Angsana New"/>
          <w:b/>
          <w:color w:val="auto"/>
          <w:kern w:val="0"/>
          <w:sz w:val="30"/>
          <w:szCs w:val="30"/>
          <w:highlight w:val="none"/>
        </w:rPr>
      </w:pPr>
      <w:r>
        <w:rPr>
          <w:b/>
          <w:color w:val="auto"/>
          <w:kern w:val="0"/>
          <w:sz w:val="30"/>
          <w:szCs w:val="30"/>
          <w:highlight w:val="none"/>
          <w:lang w:bidi="ar"/>
        </w:rPr>
        <w:t>4</w:t>
      </w:r>
      <w:r>
        <w:rPr>
          <w:rFonts w:hint="eastAsia" w:ascii="宋体" w:hAnsi="宋体" w:cs="宋体"/>
          <w:b/>
          <w:color w:val="auto"/>
          <w:kern w:val="0"/>
          <w:sz w:val="30"/>
          <w:szCs w:val="30"/>
          <w:highlight w:val="none"/>
          <w:lang w:bidi="ar"/>
        </w:rPr>
        <w:t>、实施方案</w:t>
      </w:r>
    </w:p>
    <w:p>
      <w:pPr>
        <w:pStyle w:val="15"/>
        <w:spacing w:before="240"/>
        <w:jc w:val="center"/>
        <w:rPr>
          <w:rFonts w:hint="eastAsia" w:cs="Angsana New"/>
          <w:b/>
          <w:color w:val="auto"/>
          <w:kern w:val="0"/>
          <w:sz w:val="30"/>
          <w:szCs w:val="30"/>
          <w:highlight w:val="none"/>
        </w:rPr>
      </w:pPr>
      <w:r>
        <w:rPr>
          <w:rFonts w:hint="eastAsia" w:ascii="宋体" w:hAnsi="宋体" w:cs="宋体"/>
          <w:color w:val="auto"/>
          <w:kern w:val="0"/>
          <w:sz w:val="20"/>
          <w:szCs w:val="20"/>
          <w:highlight w:val="none"/>
          <w:lang w:bidi="ar"/>
        </w:rPr>
        <w:t>（由供应商根据项目要求、评定成交的标准及自身情况自行编写）</w:t>
      </w:r>
    </w:p>
    <w:p>
      <w:pPr>
        <w:rPr>
          <w:rFonts w:hint="eastAsia" w:cs="宋体"/>
          <w:b/>
          <w:color w:val="auto"/>
          <w:sz w:val="36"/>
          <w:szCs w:val="36"/>
          <w:highlight w:val="none"/>
          <w:lang w:bidi="ar"/>
        </w:rPr>
      </w:pPr>
      <w:r>
        <w:rPr>
          <w:rFonts w:hint="eastAsia" w:cs="宋体"/>
          <w:b/>
          <w:color w:val="auto"/>
          <w:sz w:val="36"/>
          <w:szCs w:val="36"/>
          <w:highlight w:val="none"/>
          <w:lang w:bidi="ar"/>
        </w:rPr>
        <w:t xml:space="preserve"> </w:t>
      </w:r>
    </w:p>
    <w:p>
      <w:pPr>
        <w:pStyle w:val="6"/>
        <w:rPr>
          <w:rFonts w:hint="eastAsia"/>
          <w:color w:val="auto"/>
          <w:highlight w:val="none"/>
        </w:rPr>
      </w:pPr>
    </w:p>
    <w:p>
      <w:pPr>
        <w:pStyle w:val="15"/>
        <w:jc w:val="center"/>
        <w:rPr>
          <w:rFonts w:cs="Angsana New"/>
          <w:color w:val="auto"/>
          <w:kern w:val="0"/>
          <w:sz w:val="20"/>
          <w:szCs w:val="20"/>
          <w:highlight w:val="none"/>
        </w:rPr>
      </w:pPr>
      <w:r>
        <w:rPr>
          <w:rFonts w:cs="Angsana New"/>
          <w:color w:val="auto"/>
          <w:kern w:val="0"/>
          <w:sz w:val="20"/>
          <w:szCs w:val="20"/>
          <w:highlight w:val="none"/>
          <w:lang w:bidi="ar"/>
        </w:rPr>
        <w:t xml:space="preserve"> </w:t>
      </w:r>
    </w:p>
    <w:p>
      <w:pPr>
        <w:pStyle w:val="15"/>
        <w:spacing w:before="240"/>
        <w:jc w:val="left"/>
        <w:rPr>
          <w:rFonts w:cs="Angsana New"/>
          <w:b/>
          <w:color w:val="auto"/>
          <w:kern w:val="0"/>
          <w:sz w:val="30"/>
          <w:szCs w:val="30"/>
          <w:highlight w:val="none"/>
          <w:lang w:bidi="ar"/>
        </w:rPr>
      </w:pPr>
    </w:p>
    <w:p>
      <w:pPr>
        <w:pStyle w:val="15"/>
        <w:spacing w:before="240"/>
        <w:jc w:val="left"/>
        <w:rPr>
          <w:rFonts w:cs="Angsana New"/>
          <w:b/>
          <w:color w:val="auto"/>
          <w:kern w:val="0"/>
          <w:sz w:val="30"/>
          <w:szCs w:val="30"/>
          <w:highlight w:val="none"/>
          <w:lang w:bidi="ar"/>
        </w:rPr>
      </w:pPr>
    </w:p>
    <w:p>
      <w:pPr>
        <w:pStyle w:val="15"/>
        <w:spacing w:before="240"/>
        <w:jc w:val="left"/>
        <w:rPr>
          <w:rFonts w:cs="Angsana New"/>
          <w:b/>
          <w:color w:val="auto"/>
          <w:kern w:val="0"/>
          <w:sz w:val="30"/>
          <w:szCs w:val="30"/>
          <w:highlight w:val="none"/>
          <w:lang w:bidi="ar"/>
        </w:rPr>
      </w:pPr>
    </w:p>
    <w:p>
      <w:pPr>
        <w:pStyle w:val="15"/>
        <w:spacing w:before="240"/>
        <w:jc w:val="left"/>
        <w:rPr>
          <w:rFonts w:cs="Angsana New"/>
          <w:b/>
          <w:color w:val="auto"/>
          <w:kern w:val="0"/>
          <w:sz w:val="30"/>
          <w:szCs w:val="30"/>
          <w:highlight w:val="none"/>
          <w:lang w:bidi="ar"/>
        </w:rPr>
      </w:pPr>
    </w:p>
    <w:p>
      <w:pPr>
        <w:pStyle w:val="15"/>
        <w:spacing w:before="240"/>
        <w:jc w:val="left"/>
        <w:rPr>
          <w:rFonts w:cs="Angsana New"/>
          <w:b/>
          <w:color w:val="auto"/>
          <w:kern w:val="0"/>
          <w:sz w:val="30"/>
          <w:szCs w:val="30"/>
          <w:highlight w:val="none"/>
          <w:lang w:bidi="ar"/>
        </w:rPr>
      </w:pPr>
    </w:p>
    <w:p>
      <w:pPr>
        <w:pStyle w:val="15"/>
        <w:spacing w:before="240"/>
        <w:jc w:val="left"/>
        <w:rPr>
          <w:rFonts w:cs="Angsana New"/>
          <w:b/>
          <w:color w:val="auto"/>
          <w:kern w:val="0"/>
          <w:sz w:val="30"/>
          <w:szCs w:val="30"/>
          <w:highlight w:val="none"/>
          <w:lang w:bidi="ar"/>
        </w:rPr>
      </w:pPr>
    </w:p>
    <w:p>
      <w:pPr>
        <w:pStyle w:val="15"/>
        <w:spacing w:before="240"/>
        <w:jc w:val="left"/>
        <w:rPr>
          <w:rFonts w:cs="Angsana New"/>
          <w:b/>
          <w:color w:val="auto"/>
          <w:kern w:val="0"/>
          <w:sz w:val="30"/>
          <w:szCs w:val="30"/>
          <w:highlight w:val="none"/>
          <w:lang w:bidi="ar"/>
        </w:rPr>
      </w:pPr>
    </w:p>
    <w:p>
      <w:pPr>
        <w:pStyle w:val="15"/>
        <w:spacing w:before="240"/>
        <w:jc w:val="left"/>
        <w:rPr>
          <w:rFonts w:cs="Angsana New"/>
          <w:b/>
          <w:color w:val="auto"/>
          <w:kern w:val="0"/>
          <w:sz w:val="30"/>
          <w:szCs w:val="30"/>
          <w:highlight w:val="none"/>
          <w:lang w:bidi="ar"/>
        </w:rPr>
      </w:pPr>
    </w:p>
    <w:p>
      <w:pPr>
        <w:pStyle w:val="15"/>
        <w:spacing w:before="240"/>
        <w:jc w:val="left"/>
        <w:rPr>
          <w:rFonts w:cs="Angsana New"/>
          <w:b/>
          <w:color w:val="auto"/>
          <w:kern w:val="0"/>
          <w:sz w:val="30"/>
          <w:szCs w:val="30"/>
          <w:highlight w:val="none"/>
          <w:lang w:bidi="ar"/>
        </w:rPr>
      </w:pPr>
    </w:p>
    <w:p>
      <w:pPr>
        <w:pStyle w:val="15"/>
        <w:spacing w:before="240"/>
        <w:jc w:val="left"/>
        <w:rPr>
          <w:rFonts w:cs="Angsana New"/>
          <w:b/>
          <w:color w:val="auto"/>
          <w:kern w:val="0"/>
          <w:sz w:val="30"/>
          <w:szCs w:val="30"/>
          <w:highlight w:val="none"/>
          <w:lang w:bidi="ar"/>
        </w:rPr>
      </w:pPr>
    </w:p>
    <w:p>
      <w:pPr>
        <w:pStyle w:val="15"/>
        <w:spacing w:before="240"/>
        <w:jc w:val="left"/>
        <w:rPr>
          <w:rFonts w:cs="Angsana New"/>
          <w:b/>
          <w:color w:val="auto"/>
          <w:kern w:val="0"/>
          <w:sz w:val="30"/>
          <w:szCs w:val="30"/>
          <w:highlight w:val="none"/>
          <w:lang w:bidi="ar"/>
        </w:rPr>
      </w:pPr>
    </w:p>
    <w:p>
      <w:pPr>
        <w:pStyle w:val="15"/>
        <w:spacing w:before="240"/>
        <w:jc w:val="left"/>
        <w:rPr>
          <w:rFonts w:cs="Angsana New"/>
          <w:b/>
          <w:color w:val="auto"/>
          <w:kern w:val="0"/>
          <w:sz w:val="30"/>
          <w:szCs w:val="30"/>
          <w:highlight w:val="none"/>
          <w:lang w:bidi="ar"/>
        </w:rPr>
      </w:pPr>
    </w:p>
    <w:p>
      <w:pPr>
        <w:pStyle w:val="10"/>
        <w:spacing w:line="300" w:lineRule="auto"/>
        <w:outlineLvl w:val="0"/>
        <w:rPr>
          <w:rFonts w:ascii="Times New Roman" w:hAnsi="Times New Roman" w:cs="Angsana New"/>
          <w:b/>
          <w:color w:val="auto"/>
          <w:sz w:val="30"/>
          <w:szCs w:val="30"/>
          <w:highlight w:val="none"/>
          <w:lang w:bidi="ar"/>
        </w:rPr>
      </w:pPr>
      <w:bookmarkStart w:id="50" w:name="_Toc19389"/>
      <w:r>
        <w:rPr>
          <w:rFonts w:hint="eastAsia" w:ascii="Times New Roman" w:hAnsi="Times New Roman" w:cs="Angsana New"/>
          <w:b/>
          <w:color w:val="auto"/>
          <w:sz w:val="30"/>
          <w:szCs w:val="30"/>
          <w:highlight w:val="none"/>
          <w:lang w:bidi="ar"/>
        </w:rPr>
        <w:t>附件1</w:t>
      </w:r>
      <w:r>
        <w:rPr>
          <w:rFonts w:ascii="Times New Roman" w:hAnsi="Times New Roman" w:cs="Angsana New"/>
          <w:b/>
          <w:color w:val="auto"/>
          <w:sz w:val="30"/>
          <w:szCs w:val="30"/>
          <w:highlight w:val="none"/>
          <w:lang w:bidi="ar"/>
        </w:rPr>
        <w:t>3</w:t>
      </w:r>
      <w:bookmarkEnd w:id="50"/>
    </w:p>
    <w:p>
      <w:pPr>
        <w:pStyle w:val="15"/>
        <w:spacing w:before="240"/>
        <w:jc w:val="center"/>
        <w:rPr>
          <w:rFonts w:hint="eastAsia" w:cs="Angsana New"/>
          <w:b/>
          <w:color w:val="auto"/>
          <w:kern w:val="0"/>
          <w:sz w:val="30"/>
          <w:szCs w:val="30"/>
          <w:highlight w:val="none"/>
        </w:rPr>
      </w:pPr>
      <w:r>
        <w:rPr>
          <w:b/>
          <w:color w:val="auto"/>
          <w:kern w:val="0"/>
          <w:sz w:val="30"/>
          <w:szCs w:val="30"/>
          <w:highlight w:val="none"/>
          <w:lang w:bidi="ar"/>
        </w:rPr>
        <w:t>5</w:t>
      </w:r>
      <w:r>
        <w:rPr>
          <w:rFonts w:hint="eastAsia" w:ascii="宋体" w:hAnsi="宋体" w:cs="宋体"/>
          <w:b/>
          <w:color w:val="auto"/>
          <w:kern w:val="0"/>
          <w:sz w:val="30"/>
          <w:szCs w:val="30"/>
          <w:highlight w:val="none"/>
          <w:lang w:bidi="ar"/>
        </w:rPr>
        <w:t>、</w:t>
      </w:r>
      <w:r>
        <w:rPr>
          <w:rFonts w:hint="eastAsia" w:ascii="宋体" w:hAnsi="宋体" w:cs="宋体"/>
          <w:b/>
          <w:color w:val="auto"/>
          <w:kern w:val="0"/>
          <w:sz w:val="30"/>
          <w:szCs w:val="30"/>
          <w:highlight w:val="none"/>
          <w:lang w:eastAsia="zh-CN" w:bidi="ar"/>
        </w:rPr>
        <w:t>售后服务</w:t>
      </w:r>
      <w:r>
        <w:rPr>
          <w:rFonts w:hint="eastAsia" w:ascii="宋体" w:hAnsi="宋体" w:cs="宋体"/>
          <w:b/>
          <w:color w:val="auto"/>
          <w:kern w:val="0"/>
          <w:sz w:val="30"/>
          <w:szCs w:val="30"/>
          <w:highlight w:val="none"/>
          <w:lang w:bidi="ar"/>
        </w:rPr>
        <w:t>方案</w:t>
      </w:r>
    </w:p>
    <w:p>
      <w:pPr>
        <w:pStyle w:val="15"/>
        <w:spacing w:before="240"/>
        <w:jc w:val="center"/>
        <w:rPr>
          <w:rFonts w:hint="eastAsia" w:cs="Angsana New"/>
          <w:b/>
          <w:color w:val="auto"/>
          <w:kern w:val="0"/>
          <w:sz w:val="30"/>
          <w:szCs w:val="30"/>
          <w:highlight w:val="none"/>
        </w:rPr>
      </w:pPr>
      <w:r>
        <w:rPr>
          <w:rFonts w:hint="eastAsia" w:ascii="宋体" w:hAnsi="宋体" w:cs="宋体"/>
          <w:color w:val="auto"/>
          <w:kern w:val="0"/>
          <w:sz w:val="20"/>
          <w:szCs w:val="20"/>
          <w:highlight w:val="none"/>
          <w:lang w:bidi="ar"/>
        </w:rPr>
        <w:t>（由供应商根据项目要求、评定成交的标准及自身情况自行编写）</w:t>
      </w:r>
    </w:p>
    <w:p>
      <w:pPr>
        <w:rPr>
          <w:rFonts w:hint="eastAsia" w:cs="宋体"/>
          <w:b/>
          <w:color w:val="auto"/>
          <w:sz w:val="36"/>
          <w:szCs w:val="36"/>
          <w:highlight w:val="none"/>
          <w:lang w:bidi="ar"/>
        </w:rPr>
      </w:pPr>
      <w:r>
        <w:rPr>
          <w:rFonts w:hint="eastAsia" w:cs="宋体"/>
          <w:b/>
          <w:color w:val="auto"/>
          <w:sz w:val="36"/>
          <w:szCs w:val="36"/>
          <w:highlight w:val="none"/>
          <w:lang w:bidi="ar"/>
        </w:rPr>
        <w:t xml:space="preserve"> </w:t>
      </w:r>
    </w:p>
    <w:p>
      <w:pPr>
        <w:pStyle w:val="6"/>
        <w:rPr>
          <w:rFonts w:hint="eastAsia"/>
          <w:color w:val="auto"/>
          <w:highlight w:val="none"/>
          <w:lang w:bidi="ar"/>
        </w:rPr>
      </w:pPr>
    </w:p>
    <w:p>
      <w:pPr>
        <w:pStyle w:val="6"/>
        <w:rPr>
          <w:rFonts w:hint="eastAsia"/>
          <w:color w:val="auto"/>
          <w:highlight w:val="none"/>
          <w:lang w:bidi="ar"/>
        </w:rPr>
      </w:pPr>
    </w:p>
    <w:p>
      <w:pPr>
        <w:pStyle w:val="6"/>
        <w:rPr>
          <w:rFonts w:hint="eastAsia"/>
          <w:color w:val="auto"/>
          <w:highlight w:val="none"/>
          <w:lang w:bidi="ar"/>
        </w:rPr>
      </w:pPr>
    </w:p>
    <w:p>
      <w:pPr>
        <w:pStyle w:val="6"/>
        <w:rPr>
          <w:rFonts w:hint="eastAsia"/>
          <w:color w:val="auto"/>
          <w:highlight w:val="none"/>
          <w:lang w:bidi="ar"/>
        </w:rPr>
      </w:pPr>
    </w:p>
    <w:p>
      <w:pPr>
        <w:pStyle w:val="6"/>
        <w:rPr>
          <w:rFonts w:hint="eastAsia"/>
          <w:color w:val="auto"/>
          <w:highlight w:val="none"/>
          <w:lang w:bidi="ar"/>
        </w:rPr>
      </w:pPr>
    </w:p>
    <w:p>
      <w:pPr>
        <w:pStyle w:val="6"/>
        <w:rPr>
          <w:rFonts w:hint="eastAsia"/>
          <w:color w:val="auto"/>
          <w:highlight w:val="none"/>
          <w:lang w:bidi="ar"/>
        </w:rPr>
      </w:pPr>
    </w:p>
    <w:p>
      <w:pPr>
        <w:pStyle w:val="6"/>
        <w:rPr>
          <w:rFonts w:hint="eastAsia"/>
          <w:color w:val="auto"/>
          <w:highlight w:val="none"/>
          <w:lang w:bidi="ar"/>
        </w:rPr>
      </w:pPr>
    </w:p>
    <w:p>
      <w:pPr>
        <w:pStyle w:val="6"/>
        <w:rPr>
          <w:rFonts w:hint="eastAsia"/>
          <w:color w:val="auto"/>
          <w:highlight w:val="none"/>
          <w:lang w:bidi="ar"/>
        </w:rPr>
      </w:pPr>
    </w:p>
    <w:p>
      <w:pPr>
        <w:pStyle w:val="6"/>
        <w:rPr>
          <w:rFonts w:hint="eastAsia"/>
          <w:color w:val="auto"/>
          <w:highlight w:val="none"/>
          <w:lang w:bidi="ar"/>
        </w:rPr>
      </w:pPr>
    </w:p>
    <w:p>
      <w:pPr>
        <w:pStyle w:val="6"/>
        <w:rPr>
          <w:rFonts w:hint="eastAsia"/>
          <w:color w:val="auto"/>
          <w:highlight w:val="none"/>
          <w:lang w:bidi="ar"/>
        </w:rPr>
      </w:pPr>
    </w:p>
    <w:p>
      <w:pPr>
        <w:pStyle w:val="6"/>
        <w:rPr>
          <w:rFonts w:hint="eastAsia"/>
          <w:color w:val="auto"/>
          <w:highlight w:val="none"/>
          <w:lang w:bidi="ar"/>
        </w:rPr>
      </w:pPr>
    </w:p>
    <w:p>
      <w:pPr>
        <w:pStyle w:val="6"/>
        <w:rPr>
          <w:rFonts w:hint="eastAsia"/>
          <w:color w:val="auto"/>
          <w:highlight w:val="none"/>
          <w:lang w:bidi="ar"/>
        </w:rPr>
      </w:pPr>
    </w:p>
    <w:p>
      <w:pPr>
        <w:pStyle w:val="6"/>
        <w:rPr>
          <w:rFonts w:hint="eastAsia"/>
          <w:color w:val="auto"/>
          <w:highlight w:val="none"/>
          <w:lang w:bidi="ar"/>
        </w:rPr>
      </w:pPr>
    </w:p>
    <w:p>
      <w:pPr>
        <w:pStyle w:val="6"/>
        <w:rPr>
          <w:rFonts w:hint="eastAsia"/>
          <w:color w:val="auto"/>
          <w:highlight w:val="none"/>
          <w:lang w:bidi="ar"/>
        </w:rPr>
      </w:pPr>
    </w:p>
    <w:p>
      <w:pPr>
        <w:pStyle w:val="6"/>
        <w:rPr>
          <w:rFonts w:hint="eastAsia"/>
          <w:color w:val="auto"/>
          <w:highlight w:val="none"/>
          <w:lang w:bidi="ar"/>
        </w:rPr>
      </w:pPr>
    </w:p>
    <w:p>
      <w:pPr>
        <w:pStyle w:val="6"/>
        <w:rPr>
          <w:rFonts w:hint="eastAsia"/>
          <w:color w:val="auto"/>
          <w:highlight w:val="none"/>
          <w:lang w:bidi="ar"/>
        </w:rPr>
      </w:pPr>
    </w:p>
    <w:p>
      <w:pPr>
        <w:pStyle w:val="6"/>
        <w:rPr>
          <w:rFonts w:hint="eastAsia"/>
          <w:color w:val="auto"/>
          <w:highlight w:val="none"/>
          <w:lang w:bidi="ar"/>
        </w:rPr>
      </w:pPr>
    </w:p>
    <w:p>
      <w:pPr>
        <w:pStyle w:val="6"/>
        <w:rPr>
          <w:rFonts w:hint="eastAsia"/>
          <w:color w:val="auto"/>
          <w:highlight w:val="none"/>
          <w:lang w:bidi="ar"/>
        </w:rPr>
      </w:pPr>
    </w:p>
    <w:p>
      <w:pPr>
        <w:pStyle w:val="6"/>
        <w:rPr>
          <w:rFonts w:hint="eastAsia"/>
          <w:color w:val="auto"/>
          <w:highlight w:val="none"/>
          <w:lang w:bidi="ar"/>
        </w:rPr>
      </w:pPr>
    </w:p>
    <w:p>
      <w:pPr>
        <w:pStyle w:val="6"/>
        <w:rPr>
          <w:rFonts w:hint="eastAsia"/>
          <w:color w:val="auto"/>
          <w:highlight w:val="none"/>
          <w:lang w:bidi="ar"/>
        </w:rPr>
      </w:pPr>
    </w:p>
    <w:p>
      <w:pPr>
        <w:pStyle w:val="6"/>
        <w:rPr>
          <w:rFonts w:hint="eastAsia"/>
          <w:color w:val="auto"/>
          <w:highlight w:val="none"/>
          <w:lang w:bidi="ar"/>
        </w:rPr>
      </w:pPr>
    </w:p>
    <w:p>
      <w:pPr>
        <w:pStyle w:val="6"/>
        <w:rPr>
          <w:rFonts w:hint="eastAsia"/>
          <w:color w:val="auto"/>
          <w:highlight w:val="none"/>
          <w:lang w:bidi="ar"/>
        </w:rPr>
      </w:pPr>
    </w:p>
    <w:p>
      <w:pPr>
        <w:pStyle w:val="6"/>
        <w:rPr>
          <w:rFonts w:hint="eastAsia"/>
          <w:color w:val="auto"/>
          <w:highlight w:val="none"/>
          <w:lang w:bidi="ar"/>
        </w:rPr>
      </w:pPr>
    </w:p>
    <w:p>
      <w:pPr>
        <w:pStyle w:val="6"/>
        <w:rPr>
          <w:rFonts w:hint="eastAsia"/>
          <w:color w:val="auto"/>
          <w:highlight w:val="none"/>
          <w:lang w:bidi="ar"/>
        </w:rPr>
      </w:pPr>
    </w:p>
    <w:p>
      <w:pPr>
        <w:pStyle w:val="6"/>
        <w:rPr>
          <w:rFonts w:hint="eastAsia"/>
          <w:color w:val="auto"/>
          <w:highlight w:val="none"/>
        </w:rPr>
      </w:pPr>
    </w:p>
    <w:p>
      <w:pPr>
        <w:pStyle w:val="15"/>
        <w:jc w:val="center"/>
        <w:rPr>
          <w:rFonts w:cs="Angsana New"/>
          <w:color w:val="auto"/>
          <w:kern w:val="0"/>
          <w:sz w:val="20"/>
          <w:szCs w:val="20"/>
          <w:highlight w:val="none"/>
        </w:rPr>
      </w:pPr>
      <w:r>
        <w:rPr>
          <w:rFonts w:cs="Angsana New"/>
          <w:color w:val="auto"/>
          <w:kern w:val="0"/>
          <w:sz w:val="20"/>
          <w:szCs w:val="20"/>
          <w:highlight w:val="none"/>
          <w:lang w:bidi="ar"/>
        </w:rPr>
        <w:t xml:space="preserve"> </w:t>
      </w:r>
    </w:p>
    <w:p>
      <w:pPr>
        <w:outlineLvl w:val="0"/>
        <w:rPr>
          <w:rFonts w:cs="Angsana New"/>
          <w:b/>
          <w:color w:val="auto"/>
          <w:kern w:val="0"/>
          <w:sz w:val="30"/>
          <w:szCs w:val="30"/>
          <w:highlight w:val="none"/>
          <w:lang w:bidi="ar"/>
        </w:rPr>
      </w:pPr>
      <w:bookmarkStart w:id="51" w:name="_Toc19735"/>
      <w:r>
        <w:rPr>
          <w:rFonts w:hint="eastAsia" w:cs="Angsana New"/>
          <w:b/>
          <w:color w:val="auto"/>
          <w:kern w:val="0"/>
          <w:sz w:val="30"/>
          <w:szCs w:val="30"/>
          <w:highlight w:val="none"/>
          <w:lang w:bidi="ar"/>
        </w:rPr>
        <w:t>附件1</w:t>
      </w:r>
      <w:r>
        <w:rPr>
          <w:rFonts w:cs="Angsana New"/>
          <w:b/>
          <w:color w:val="auto"/>
          <w:kern w:val="0"/>
          <w:sz w:val="30"/>
          <w:szCs w:val="30"/>
          <w:highlight w:val="none"/>
          <w:lang w:bidi="ar"/>
        </w:rPr>
        <w:t>4</w:t>
      </w:r>
      <w:bookmarkEnd w:id="51"/>
    </w:p>
    <w:p>
      <w:pPr>
        <w:pStyle w:val="15"/>
        <w:spacing w:before="240"/>
        <w:jc w:val="center"/>
        <w:rPr>
          <w:rFonts w:hint="eastAsia" w:ascii="宋体" w:hAnsi="宋体" w:cs="Angsana New"/>
          <w:bCs/>
          <w:color w:val="auto"/>
          <w:kern w:val="0"/>
          <w:sz w:val="20"/>
          <w:szCs w:val="20"/>
          <w:highlight w:val="none"/>
          <w:lang w:bidi="ar"/>
        </w:rPr>
      </w:pPr>
    </w:p>
    <w:p>
      <w:pPr>
        <w:pStyle w:val="15"/>
        <w:spacing w:before="240"/>
        <w:jc w:val="center"/>
        <w:rPr>
          <w:rFonts w:hint="eastAsia" w:cs="Angsana New"/>
          <w:b/>
          <w:color w:val="auto"/>
          <w:kern w:val="0"/>
          <w:sz w:val="30"/>
          <w:szCs w:val="30"/>
          <w:highlight w:val="none"/>
        </w:rPr>
      </w:pPr>
      <w:r>
        <w:rPr>
          <w:rFonts w:hint="eastAsia" w:ascii="宋体" w:hAnsi="宋体" w:cs="宋体"/>
          <w:b/>
          <w:color w:val="auto"/>
          <w:kern w:val="0"/>
          <w:sz w:val="30"/>
          <w:szCs w:val="30"/>
          <w:highlight w:val="none"/>
          <w:lang w:bidi="ar"/>
        </w:rPr>
        <w:t>四、其他</w:t>
      </w:r>
    </w:p>
    <w:p>
      <w:pPr>
        <w:pStyle w:val="15"/>
        <w:spacing w:before="240"/>
        <w:jc w:val="center"/>
        <w:rPr>
          <w:rFonts w:hint="eastAsia" w:cs="Angsana New"/>
          <w:color w:val="auto"/>
          <w:kern w:val="0"/>
          <w:sz w:val="20"/>
          <w:szCs w:val="20"/>
          <w:highlight w:val="none"/>
        </w:rPr>
      </w:pPr>
      <w:r>
        <w:rPr>
          <w:rFonts w:hint="eastAsia" w:ascii="宋体" w:hAnsi="宋体" w:cs="宋体"/>
          <w:color w:val="auto"/>
          <w:kern w:val="0"/>
          <w:sz w:val="20"/>
          <w:szCs w:val="20"/>
          <w:highlight w:val="none"/>
          <w:lang w:bidi="ar"/>
        </w:rPr>
        <w:t>（由供应商根据项目要求、评定成交的标准及自身情况自行编写）</w:t>
      </w:r>
    </w:p>
    <w:p>
      <w:pPr>
        <w:pStyle w:val="15"/>
        <w:spacing w:before="240"/>
        <w:jc w:val="center"/>
        <w:rPr>
          <w:rFonts w:hint="eastAsia" w:cs="Angsana New"/>
          <w:color w:val="auto"/>
          <w:kern w:val="0"/>
          <w:sz w:val="20"/>
          <w:szCs w:val="20"/>
          <w:highlight w:val="none"/>
          <w:lang w:bidi="ar"/>
        </w:rPr>
      </w:pPr>
    </w:p>
    <w:p>
      <w:pPr>
        <w:pStyle w:val="15"/>
        <w:spacing w:before="240"/>
        <w:jc w:val="center"/>
        <w:rPr>
          <w:rFonts w:hint="eastAsia" w:cs="Angsana New"/>
          <w:color w:val="auto"/>
          <w:kern w:val="0"/>
          <w:sz w:val="20"/>
          <w:szCs w:val="20"/>
          <w:highlight w:val="none"/>
        </w:rPr>
      </w:pPr>
      <w:r>
        <w:rPr>
          <w:rFonts w:hint="eastAsia" w:cs="Angsana New"/>
          <w:color w:val="auto"/>
          <w:kern w:val="0"/>
          <w:sz w:val="20"/>
          <w:szCs w:val="20"/>
          <w:highlight w:val="none"/>
          <w:lang w:bidi="ar"/>
        </w:rPr>
        <w:t xml:space="preserve"> </w:t>
      </w:r>
    </w:p>
    <w:p>
      <w:pPr>
        <w:pStyle w:val="15"/>
        <w:spacing w:line="360" w:lineRule="auto"/>
        <w:ind w:left="420"/>
        <w:rPr>
          <w:rFonts w:hint="eastAsia" w:ascii="宋体" w:hAnsi="宋体" w:cs="Angsana New"/>
          <w:bCs/>
          <w:color w:val="auto"/>
          <w:kern w:val="0"/>
          <w:sz w:val="20"/>
          <w:szCs w:val="20"/>
          <w:highlight w:val="none"/>
        </w:rPr>
      </w:pPr>
      <w:r>
        <w:rPr>
          <w:rFonts w:hint="eastAsia" w:ascii="宋体" w:hAnsi="宋体" w:cs="Angsana New"/>
          <w:bCs/>
          <w:color w:val="auto"/>
          <w:kern w:val="0"/>
          <w:sz w:val="20"/>
          <w:szCs w:val="20"/>
          <w:highlight w:val="none"/>
          <w:lang w:bidi="ar"/>
        </w:rPr>
        <w:t xml:space="preserve"> </w:t>
      </w:r>
    </w:p>
    <w:p>
      <w:pPr>
        <w:pStyle w:val="15"/>
        <w:spacing w:line="360" w:lineRule="auto"/>
        <w:ind w:left="420"/>
        <w:rPr>
          <w:rFonts w:hint="eastAsia" w:ascii="宋体" w:hAnsi="宋体" w:cs="Angsana New"/>
          <w:bCs/>
          <w:color w:val="auto"/>
          <w:kern w:val="0"/>
          <w:sz w:val="20"/>
          <w:szCs w:val="20"/>
          <w:highlight w:val="none"/>
        </w:rPr>
      </w:pPr>
      <w:r>
        <w:rPr>
          <w:rFonts w:hint="eastAsia" w:ascii="宋体" w:hAnsi="宋体" w:cs="Angsana New"/>
          <w:bCs/>
          <w:color w:val="auto"/>
          <w:kern w:val="0"/>
          <w:sz w:val="20"/>
          <w:szCs w:val="20"/>
          <w:highlight w:val="none"/>
          <w:lang w:bidi="ar"/>
        </w:rPr>
        <w:t xml:space="preserve"> </w:t>
      </w:r>
    </w:p>
    <w:p>
      <w:pPr>
        <w:pStyle w:val="15"/>
        <w:spacing w:line="360" w:lineRule="auto"/>
        <w:rPr>
          <w:rFonts w:hint="eastAsia" w:ascii="宋体" w:hAnsi="宋体" w:cs="Angsana New"/>
          <w:bCs/>
          <w:color w:val="auto"/>
          <w:kern w:val="0"/>
          <w:sz w:val="20"/>
          <w:szCs w:val="20"/>
          <w:highlight w:val="none"/>
        </w:rPr>
      </w:pPr>
      <w:r>
        <w:rPr>
          <w:rFonts w:hint="eastAsia" w:ascii="宋体" w:hAnsi="宋体" w:cs="Angsana New"/>
          <w:bCs/>
          <w:color w:val="auto"/>
          <w:kern w:val="0"/>
          <w:sz w:val="20"/>
          <w:szCs w:val="20"/>
          <w:highlight w:val="none"/>
          <w:lang w:bidi="ar"/>
        </w:rPr>
        <w:t xml:space="preserve"> </w:t>
      </w:r>
    </w:p>
    <w:p>
      <w:pPr>
        <w:pStyle w:val="10"/>
        <w:spacing w:line="400" w:lineRule="exact"/>
        <w:rPr>
          <w:rFonts w:hint="eastAsia" w:ascii="仿宋_GB2312" w:hAnsi="仿宋_GB2312" w:eastAsia="仿宋_GB2312" w:cs="仿宋_GB2312"/>
          <w:color w:val="auto"/>
          <w:sz w:val="28"/>
          <w:szCs w:val="28"/>
          <w:highlight w:val="none"/>
        </w:rPr>
      </w:pPr>
    </w:p>
    <w:sectPr>
      <w:footerReference r:id="rId21" w:type="default"/>
      <w:pgSz w:w="11906" w:h="16838"/>
      <w:pgMar w:top="1418" w:right="1418" w:bottom="1418" w:left="141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B94AD4C-E9EF-4358-A62D-F40C9958B409}"/>
  </w:font>
  <w:font w:name="Courier New">
    <w:panose1 w:val="02070309020205020404"/>
    <w:charset w:val="01"/>
    <w:family w:val="modern"/>
    <w:pitch w:val="default"/>
    <w:sig w:usb0="E0002AFF" w:usb1="C0007843" w:usb2="00000009" w:usb3="00000000" w:csb0="400001FF" w:csb1="FFFF0000"/>
    <w:embedRegular r:id="rId2" w:fontKey="{32AD2573-9478-4B1E-9504-B1BA60B8413F}"/>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ngsana New">
    <w:panose1 w:val="02020603050405020304"/>
    <w:charset w:val="DE"/>
    <w:family w:val="roman"/>
    <w:pitch w:val="default"/>
    <w:sig w:usb0="81000003" w:usb1="00000000" w:usb2="00000000" w:usb3="00000000" w:csb0="00010001" w:csb1="00000000"/>
    <w:embedRegular r:id="rId3" w:fontKey="{8FA5737B-F82B-4ADE-8ECD-955B9BA33A1A}"/>
  </w:font>
  <w:font w:name="Cambria">
    <w:panose1 w:val="02040503050406030204"/>
    <w:charset w:val="00"/>
    <w:family w:val="roman"/>
    <w:pitch w:val="default"/>
    <w:sig w:usb0="E00002FF" w:usb1="400004FF" w:usb2="00000000"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embedRegular r:id="rId4" w:fontKey="{4A1E1613-DB22-4569-8C04-00EB62B28F5F}"/>
  </w:font>
  <w:font w:name="PMingLiU">
    <w:panose1 w:val="02020500000000000000"/>
    <w:charset w:val="88"/>
    <w:family w:val="roman"/>
    <w:pitch w:val="default"/>
    <w:sig w:usb0="A00002FF" w:usb1="28CFFCFA" w:usb2="00000016" w:usb3="00000000" w:csb0="00100001" w:csb1="00000000"/>
  </w:font>
  <w:font w:name="方正小标宋简体">
    <w:panose1 w:val="02000000000000000000"/>
    <w:charset w:val="86"/>
    <w:family w:val="auto"/>
    <w:pitch w:val="default"/>
    <w:sig w:usb0="00000001" w:usb1="08000000" w:usb2="00000000" w:usb3="00000000" w:csb0="00040000" w:csb1="00000000"/>
    <w:embedRegular r:id="rId5" w:fontKey="{B49C93C2-5B98-47D7-9B60-A3A5F128EF3C}"/>
  </w:font>
  <w:font w:name="华文中宋">
    <w:panose1 w:val="02010600040101010101"/>
    <w:charset w:val="86"/>
    <w:family w:val="auto"/>
    <w:pitch w:val="default"/>
    <w:sig w:usb0="00000287" w:usb1="080F0000" w:usb2="00000000" w:usb3="00000000" w:csb0="0004009F" w:csb1="DFD70000"/>
    <w:embedRegular r:id="rId6" w:fontKey="{CCE62A8C-5C3B-4344-ABBF-C3AE230BFF80}"/>
  </w:font>
  <w:font w:name="??_GB2312">
    <w:altName w:val="hakuyoxingshu7000"/>
    <w:panose1 w:val="00000000000000000000"/>
    <w:charset w:val="00"/>
    <w:family w:val="auto"/>
    <w:pitch w:val="default"/>
    <w:sig w:usb0="00000000" w:usb1="00000000" w:usb2="00000000" w:usb3="00000000" w:csb0="00040001" w:csb1="00000000"/>
    <w:embedRegular r:id="rId7" w:fontKey="{2B10531B-14B1-4D4E-ADC8-2BEA63C3A4AF}"/>
  </w:font>
  <w:font w:name="hakuyoxingshu7000">
    <w:panose1 w:val="02000600000000000000"/>
    <w:charset w:val="86"/>
    <w:family w:val="auto"/>
    <w:pitch w:val="default"/>
    <w:sig w:usb0="FFFFFFFF" w:usb1="E9FFFFFF" w:usb2="0000003F" w:usb3="00000000" w:csb0="603F00FF" w:csb1="FFFF0000"/>
  </w:font>
  <w:font w:name="仿宋_GB2312">
    <w:panose1 w:val="02010609030101010101"/>
    <w:charset w:val="86"/>
    <w:family w:val="modern"/>
    <w:pitch w:val="default"/>
    <w:sig w:usb0="00000001" w:usb1="080E0000" w:usb2="00000000" w:usb3="00000000" w:csb0="00040000" w:csb1="00000000"/>
    <w:embedRegular r:id="rId8" w:fontKey="{9D91A606-C4D6-47EF-AAE1-A3D40A293040}"/>
  </w:font>
  <w:font w:name="仿宋">
    <w:panose1 w:val="02010609060101010101"/>
    <w:charset w:val="86"/>
    <w:family w:val="modern"/>
    <w:pitch w:val="default"/>
    <w:sig w:usb0="800002BF" w:usb1="38CF7CFA" w:usb2="00000016" w:usb3="00000000" w:csb0="00040001" w:csb1="00000000"/>
    <w:embedRegular r:id="rId9" w:fontKey="{022CAB5C-BBD4-4B04-85D7-25064CBA3BD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jc w:val="center"/>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IAxqsgBAACa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ptKI7dcYsDv3z/dvnx6/LzK1ne&#10;ZH36ADWmPQZMTMO9H3BrZj+gM9MeVLT5i4QIxlHd81VdOSQi8qP1ar2uMCQwNl8Qnz09DxHSW+kt&#10;yUZDI46vqMpP7yGNqXNKrub8gzamjNC4vxyImT0s9z72mK007IeJ0N63Z+TT4+Qb6nDRKTHvHAqb&#10;l2Q24mzsZ+MYoj50ZYtyPQh3x4RNlN5yhRF2KowjK+ym9co78ee9ZD39Ut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EiAMarIAQAAmgMAAA4AAAAAAAAAAQAgAAAAHgEAAGRycy9lMm9Eb2Mu&#10;eG1sUEsFBgAAAAAGAAYAWQEAAFgFAAAAAA==&#10;">
              <v:fill on="f" focussize="0,0"/>
              <v:stroke on="f"/>
              <v:imagedata o:title=""/>
              <o:lock v:ext="edit" aspectratio="f"/>
              <v:textbox inset="0mm,0mm,0mm,0mm" style="mso-fit-shape-to-text:t;">
                <w:txbxContent>
                  <w:p>
                    <w:pPr>
                      <w:pStyle w:val="12"/>
                      <w:jc w:val="center"/>
                    </w:pPr>
                    <w:r>
                      <w:fldChar w:fldCharType="begin"/>
                    </w:r>
                    <w:r>
                      <w:instrText xml:space="preserve"> PAGE  \* MERGEFORMAT </w:instrText>
                    </w:r>
                    <w:r>
                      <w:fldChar w:fldCharType="separate"/>
                    </w:r>
                    <w:r>
                      <w:t>1</w:t>
                    </w:r>
                    <w:r>
                      <w:fldChar w:fldCharType="end"/>
                    </w:r>
                  </w:p>
                </w:txbxContent>
              </v:textbox>
            </v:shape>
          </w:pict>
        </mc:Fallback>
      </mc:AlternateContent>
    </w:r>
  </w:p>
  <w:p>
    <w:pPr>
      <w:pStyle w:val="12"/>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jc w:val="center"/>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8"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vENbhyQEAAJoDAAAOAAAAAAAAAAEAIAAAAB4BAABkcnMvZTJvRG9j&#10;LnhtbFBLBQYAAAAABgAGAFkBAABZBQAAAAA=&#10;">
              <v:fill on="f" focussize="0,0"/>
              <v:stroke on="f"/>
              <v:imagedata o:title=""/>
              <o:lock v:ext="edit" aspectratio="f"/>
              <v:textbox inset="0mm,0mm,0mm,0mm" style="mso-fit-shape-to-text:t;">
                <w:txbxContent>
                  <w:p>
                    <w:pPr>
                      <w:pStyle w:val="12"/>
                      <w:jc w:val="center"/>
                    </w:pPr>
                    <w:r>
                      <w:fldChar w:fldCharType="begin"/>
                    </w:r>
                    <w:r>
                      <w:instrText xml:space="preserve"> PAGE  \* MERGEFORMAT </w:instrText>
                    </w:r>
                    <w:r>
                      <w:fldChar w:fldCharType="separate"/>
                    </w:r>
                    <w:r>
                      <w:t>1</w:t>
                    </w:r>
                    <w:r>
                      <w:fldChar w:fldCharType="end"/>
                    </w:r>
                  </w:p>
                </w:txbxContent>
              </v:textbox>
            </v:shape>
          </w:pict>
        </mc:Fallback>
      </mc:AlternateContent>
    </w:r>
  </w:p>
  <w:p>
    <w:pPr>
      <w:pStyle w:val="12"/>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p>
    <w:pPr>
      <w:pStyle w:val="12"/>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jc w:val="center"/>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rfPNrIAQAAmwMAAA4AAAAAAAAAAQAgAAAAHgEAAGRycy9lMm9Eb2Mu&#10;eG1sUEsFBgAAAAAGAAYAWQEAAFgFAAAAAA==&#10;">
              <v:fill on="f" focussize="0,0"/>
              <v:stroke on="f"/>
              <v:imagedata o:title=""/>
              <o:lock v:ext="edit" aspectratio="f"/>
              <v:textbox inset="0mm,0mm,0mm,0mm" style="mso-fit-shape-to-text:t;">
                <w:txbxContent>
                  <w:p>
                    <w:pPr>
                      <w:pStyle w:val="12"/>
                      <w:jc w:val="center"/>
                    </w:pPr>
                    <w:r>
                      <w:fldChar w:fldCharType="begin"/>
                    </w:r>
                    <w:r>
                      <w:instrText xml:space="preserve"> PAGE  \* MERGEFORMAT </w:instrText>
                    </w:r>
                    <w:r>
                      <w:fldChar w:fldCharType="separate"/>
                    </w:r>
                    <w:r>
                      <w:t>1</w:t>
                    </w:r>
                    <w:r>
                      <w:fldChar w:fldCharType="end"/>
                    </w:r>
                  </w:p>
                </w:txbxContent>
              </v:textbox>
            </v:shape>
          </w:pict>
        </mc:Fallback>
      </mc:AlternateContent>
    </w:r>
  </w:p>
  <w:p>
    <w:pPr>
      <w:pStyle w:val="12"/>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jc w:val="center"/>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Y0TKPyQEAAJsDAAAOAAAAAAAAAAEAIAAAAB4BAABkcnMvZTJvRG9j&#10;LnhtbFBLBQYAAAAABgAGAFkBAABZBQAAAAA=&#10;">
              <v:fill on="f" focussize="0,0"/>
              <v:stroke on="f"/>
              <v:imagedata o:title=""/>
              <o:lock v:ext="edit" aspectratio="f"/>
              <v:textbox inset="0mm,0mm,0mm,0mm" style="mso-fit-shape-to-text:t;">
                <w:txbxContent>
                  <w:p>
                    <w:pPr>
                      <w:pStyle w:val="12"/>
                      <w:jc w:val="center"/>
                    </w:pPr>
                    <w:r>
                      <w:fldChar w:fldCharType="begin"/>
                    </w:r>
                    <w:r>
                      <w:instrText xml:space="preserve"> PAGE  \* MERGEFORMAT </w:instrText>
                    </w:r>
                    <w:r>
                      <w:fldChar w:fldCharType="separate"/>
                    </w:r>
                    <w:r>
                      <w:t>1</w:t>
                    </w:r>
                    <w:r>
                      <w:fldChar w:fldCharType="end"/>
                    </w:r>
                  </w:p>
                </w:txbxContent>
              </v:textbox>
            </v:shape>
          </w:pict>
        </mc:Fallback>
      </mc:AlternateContent>
    </w:r>
  </w:p>
  <w:p>
    <w:pPr>
      <w:pStyle w:val="12"/>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jc w:val="center"/>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23"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DZfPckBAACb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VhS4rjFiV++f7v8+HX5+ZWs&#10;XmeB+gA15j0EzEzDnR8wefYDOjPvQUWbv8iIYBzlPV/llUMiIj9ar9brCkMCY/MF8dnj8xAhvZXe&#10;kmw0NOL8iqz89B7SmDqn5GrO32tjygyN+8uBmNnDcu9jj9lKw36YCO19e0Y+PY6+oQ43nRLzzqGy&#10;eUtmI87GfjaOIepDV9Yo14Nwe0zYROktVxhhp8I4s8Ju2q+8FH/eS9bjP7X9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gNl89yQEAAJsDAAAOAAAAAAAAAAEAIAAAAB4BAABkcnMvZTJvRG9j&#10;LnhtbFBLBQYAAAAABgAGAFkBAABZBQAAAAA=&#10;">
              <v:fill on="f" focussize="0,0"/>
              <v:stroke on="f"/>
              <v:imagedata o:title=""/>
              <o:lock v:ext="edit" aspectratio="f"/>
              <v:textbox inset="0mm,0mm,0mm,0mm" style="mso-fit-shape-to-text:t;">
                <w:txbxContent>
                  <w:p>
                    <w:pPr>
                      <w:pStyle w:val="12"/>
                      <w:jc w:val="center"/>
                    </w:pPr>
                    <w:r>
                      <w:fldChar w:fldCharType="begin"/>
                    </w:r>
                    <w:r>
                      <w:instrText xml:space="preserve"> PAGE  \* MERGEFORMAT </w:instrText>
                    </w:r>
                    <w:r>
                      <w:fldChar w:fldCharType="separate"/>
                    </w:r>
                    <w:r>
                      <w:t>1</w:t>
                    </w:r>
                    <w:r>
                      <w:fldChar w:fldCharType="end"/>
                    </w:r>
                  </w:p>
                </w:txbxContent>
              </v:textbox>
            </v:shape>
          </w:pict>
        </mc:Fallback>
      </mc:AlternateContent>
    </w:r>
  </w:p>
  <w:p>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left" w:pos="5082"/>
        <w:tab w:val="clear" w:pos="4153"/>
      </w:tabs>
    </w:pP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jwVlMkBAACZ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EtbgIljlsc+Pnnj/Ovx/PDd/I2&#10;y9MHqDHrLmBeGt77IadOfkBnZj2oaPMX+RCMo7ini7hySETkR6vlalVhSGBsviAOe3oeIqQP0luS&#10;jYZGnF4RlR8/QRpT55RczflbbQz6eW3cXw7EzB6Wex97zFYadsPU+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iPBWUyQEAAJkDAAAOAAAAAAAAAAEAIAAAAB4BAABkcnMvZTJvRG9j&#10;LnhtbFBLBQYAAAAABgAGAFkBAABZBQAAAAA=&#10;">
              <v:fill on="f" focussize="0,0"/>
              <v:stroke on="f"/>
              <v:imagedata o:title=""/>
              <o:lock v:ext="edit" aspectratio="f"/>
              <v:textbox inset="0mm,0mm,0mm,0mm" style="mso-fit-shape-to-text:t;">
                <w:txbxContent>
                  <w:p>
                    <w:pPr>
                      <w:pStyle w:val="12"/>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uSGDIAQAAmQMAAA4AAAAAAAAAAQAgAAAAHgEAAGRycy9lMm9Eb2Mu&#10;eG1sUEsFBgAAAAAGAAYAWQEAAFgFAAAAAA==&#10;">
              <v:fill on="f" focussize="0,0"/>
              <v:stroke on="f"/>
              <v:imagedata o:title=""/>
              <o:lock v:ext="edit" aspectratio="f"/>
              <v:textbox inset="0mm,0mm,0mm,0mm" style="mso-fit-shape-to-text:t;">
                <w:txbxContent>
                  <w:p>
                    <w:pPr>
                      <w:pStyle w:val="12"/>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kVl8cBAACaAwAADgAAAGRycy9lMm9Eb2MueG1srVNNrtMwEN4jcQfL&#10;e+q0SK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LahLylx3OLAL9+/XX78uvz8SpZF&#10;nz5AjWkPARPT8MYPuDVZt+wHdGbag4o2f5EQwTiqe76qK4dERH60Xq3XFYYExuYL4rDb8xAhvZXe&#10;kmw0NOL4iqr89B7SmDqn5GrO32tjygiN+8uBmNnDbj1mKw37YWp879sz8ulx8g11uOiUmHcOhc1L&#10;MhtxNvazcQxRH7qyRbkehNfHhE2U3nKFEXYqjCMr7Kb1yjvx571k3X6p7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VkVl8cBAACaAwAADgAAAAAAAAABACAAAAAeAQAAZHJzL2Uyb0RvYy54&#10;bWxQSwUGAAAAAAYABgBZAQAAVwUAAAAA&#10;">
              <v:fill on="f" focussize="0,0"/>
              <v:stroke on="f"/>
              <v:imagedata o:title=""/>
              <o:lock v:ext="edit" aspectratio="f"/>
              <v:textbox inset="0mm,0mm,0mm,0mm" style="mso-fit-shape-to-text:t;">
                <w:txbxContent>
                  <w:p>
                    <w:pPr>
                      <w:pStyle w:val="12"/>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v10rMkBAACaAwAADgAAAGRycy9lMm9Eb2MueG1srVPNjtMwEL4j8Q6W&#10;79Rph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029IYSxy0O/PLj++Xn78uvb2T5&#10;OuvTB6gx7T5gYhre+gG3ZvYDOjPtQUWbv0iIYBzVPV/VlUMiIj9ar9brCkMCY/MF8dnD8xAhvZPe&#10;kmw0NOL4iqr89AHSmDqn5GrO32ljygiN+8uBmNnDcu9jj9lKw36YCO19e0Y+PU6+oQ4XnRLz3qGw&#10;eUlmI87GfjaOIepDV7Yo14Pw5piwidJbrjDCToVxZIXdtF55Jx7fS9bDL7X9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y/XSsyQEAAJoDAAAOAAAAAAAAAAEAIAAAAB4BAABkcnMvZTJvRG9j&#10;LnhtbFBLBQYAAAAABgAGAFkBAABZBQAAAAA=&#10;">
              <v:fill on="f" focussize="0,0"/>
              <v:stroke on="f"/>
              <v:imagedata o:title=""/>
              <o:lock v:ext="edit" aspectratio="f"/>
              <v:textbox inset="0mm,0mm,0mm,0mm" style="mso-fit-shape-to-text:t;">
                <w:txbxContent>
                  <w:p>
                    <w:pPr>
                      <w:pStyle w:val="12"/>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0">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p6xfckBAACaAwAADgAAAGRycy9lMm9Eb2MueG1srVPNjtMwEL4j8Q6W&#10;79RpJ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bEcYsDv3z/dvnx6/LzK1m+&#10;zPr0AWpMuwuYmIa3fsCtmf2Azkx7UNHmLxIiGEd1z1d15ZCIyI/Wq/W6wpDA2HxBfPbwPERI76S3&#10;JBsNjTi+oio/fYA0ps4puZrzt9qYMkLj/nIgZvaw3PvYY7bSsB8mQnvfnpFPj5NvqMNFp8S8dyhs&#10;XpLZiLOxn41jiPrQlS3K9SC8OSZsovSWK4ywU2EcWWE3rVfeiT/vJevh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anrF9yQEAAJoDAAAOAAAAAAAAAAEAIAAAAB4BAABkcnMvZTJvRG9j&#10;LnhtbFBLBQYAAAAABgAGAFkBAABZBQAAAAA=&#10;">
              <v:fill on="f" focussize="0,0"/>
              <v:stroke on="f"/>
              <v:imagedata o:title=""/>
              <o:lock v:ext="edit" aspectratio="f"/>
              <v:textbox inset="0mm,0mm,0mm,0mm" style="mso-fit-shape-to-text:t;">
                <w:txbxContent>
                  <w:p>
                    <w:pPr>
                      <w:pStyle w:val="12"/>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line="520" w:lineRule="exact"/>
      <w:rPr>
        <w:rFonts w:ascii="??_GB2312" w:eastAsia="仿宋_GB2312"/>
        <w:sz w:val="22"/>
        <w:szCs w:val="22"/>
      </w:rPr>
    </w:pPr>
    <w:r>
      <w:rPr>
        <w:rFonts w:hint="eastAsia" w:ascii="仿宋_GB2312" w:hAnsi="仿宋_GB2312" w:eastAsia="仿宋_GB2312" w:cs="仿宋_GB2312"/>
        <w:sz w:val="22"/>
        <w:szCs w:val="22"/>
      </w:rPr>
      <w:t>项目名称：客服热线系统服务项目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line="520" w:lineRule="exact"/>
      <w:rPr>
        <w:rFonts w:ascii="??_GB2312" w:eastAsia="仿宋_GB2312"/>
        <w:sz w:val="22"/>
        <w:szCs w:val="22"/>
      </w:rPr>
    </w:pPr>
    <w:r>
      <w:rPr>
        <w:rFonts w:hint="eastAsia" w:ascii="仿宋_GB2312" w:hAnsi="仿宋_GB2312" w:eastAsia="仿宋_GB2312" w:cs="仿宋_GB2312"/>
        <w:sz w:val="22"/>
        <w:szCs w:val="22"/>
      </w:rPr>
      <w:t>项目名称：客服热线系统服务项目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EAF733"/>
    <w:multiLevelType w:val="singleLevel"/>
    <w:tmpl w:val="9FEAF733"/>
    <w:lvl w:ilvl="0" w:tentative="0">
      <w:start w:val="1"/>
      <w:numFmt w:val="chineseCounting"/>
      <w:suff w:val="nothing"/>
      <w:lvlText w:val="%1、"/>
      <w:lvlJc w:val="left"/>
      <w:rPr>
        <w:rFonts w:hint="eastAsia"/>
      </w:rPr>
    </w:lvl>
  </w:abstractNum>
  <w:abstractNum w:abstractNumId="1">
    <w:nsid w:val="AD2E4986"/>
    <w:multiLevelType w:val="singleLevel"/>
    <w:tmpl w:val="AD2E498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4NjViZjJhZmE0MzkzOTdhYzk5ZmY0NjM0YTcyYmIifQ=="/>
  </w:docVars>
  <w:rsids>
    <w:rsidRoot w:val="0005759F"/>
    <w:rsid w:val="000004BF"/>
    <w:rsid w:val="000007D2"/>
    <w:rsid w:val="0000133B"/>
    <w:rsid w:val="00001E54"/>
    <w:rsid w:val="00002A5B"/>
    <w:rsid w:val="00006F31"/>
    <w:rsid w:val="00007C1A"/>
    <w:rsid w:val="00011544"/>
    <w:rsid w:val="00012634"/>
    <w:rsid w:val="00014418"/>
    <w:rsid w:val="000151D2"/>
    <w:rsid w:val="000159D8"/>
    <w:rsid w:val="00016825"/>
    <w:rsid w:val="00016EA8"/>
    <w:rsid w:val="00017A9C"/>
    <w:rsid w:val="00022E2D"/>
    <w:rsid w:val="0002313C"/>
    <w:rsid w:val="00023B4E"/>
    <w:rsid w:val="00024D6C"/>
    <w:rsid w:val="0002526A"/>
    <w:rsid w:val="00025357"/>
    <w:rsid w:val="00025A8A"/>
    <w:rsid w:val="00030C6E"/>
    <w:rsid w:val="00031803"/>
    <w:rsid w:val="00032530"/>
    <w:rsid w:val="0003254B"/>
    <w:rsid w:val="000339FA"/>
    <w:rsid w:val="00033DFC"/>
    <w:rsid w:val="0003400F"/>
    <w:rsid w:val="00035491"/>
    <w:rsid w:val="0003734E"/>
    <w:rsid w:val="00037E43"/>
    <w:rsid w:val="0004111C"/>
    <w:rsid w:val="00041E95"/>
    <w:rsid w:val="00042A74"/>
    <w:rsid w:val="00042AEC"/>
    <w:rsid w:val="00042B55"/>
    <w:rsid w:val="00044211"/>
    <w:rsid w:val="000449CC"/>
    <w:rsid w:val="00044E3D"/>
    <w:rsid w:val="00047313"/>
    <w:rsid w:val="00047F89"/>
    <w:rsid w:val="00050F96"/>
    <w:rsid w:val="000511B3"/>
    <w:rsid w:val="000512F3"/>
    <w:rsid w:val="0005216D"/>
    <w:rsid w:val="00052240"/>
    <w:rsid w:val="00052EF0"/>
    <w:rsid w:val="000533F9"/>
    <w:rsid w:val="00053919"/>
    <w:rsid w:val="0005483A"/>
    <w:rsid w:val="00055F37"/>
    <w:rsid w:val="0005759F"/>
    <w:rsid w:val="00060965"/>
    <w:rsid w:val="00060C9B"/>
    <w:rsid w:val="00060F63"/>
    <w:rsid w:val="00061BFC"/>
    <w:rsid w:val="00061EA1"/>
    <w:rsid w:val="00062DB1"/>
    <w:rsid w:val="00063C10"/>
    <w:rsid w:val="0006447D"/>
    <w:rsid w:val="000646D8"/>
    <w:rsid w:val="00066716"/>
    <w:rsid w:val="00067F19"/>
    <w:rsid w:val="00070950"/>
    <w:rsid w:val="00071853"/>
    <w:rsid w:val="00071957"/>
    <w:rsid w:val="00073BD2"/>
    <w:rsid w:val="00074132"/>
    <w:rsid w:val="00074AFF"/>
    <w:rsid w:val="00075D26"/>
    <w:rsid w:val="000766AF"/>
    <w:rsid w:val="00077A71"/>
    <w:rsid w:val="00080E0D"/>
    <w:rsid w:val="00083245"/>
    <w:rsid w:val="000833BF"/>
    <w:rsid w:val="00084ECF"/>
    <w:rsid w:val="00085808"/>
    <w:rsid w:val="000900E4"/>
    <w:rsid w:val="00090143"/>
    <w:rsid w:val="000917C4"/>
    <w:rsid w:val="00093A8D"/>
    <w:rsid w:val="00093B1F"/>
    <w:rsid w:val="00095661"/>
    <w:rsid w:val="000A2992"/>
    <w:rsid w:val="000A50DB"/>
    <w:rsid w:val="000A6154"/>
    <w:rsid w:val="000A7265"/>
    <w:rsid w:val="000A73C3"/>
    <w:rsid w:val="000A785D"/>
    <w:rsid w:val="000A7EF9"/>
    <w:rsid w:val="000B2086"/>
    <w:rsid w:val="000B2283"/>
    <w:rsid w:val="000B2493"/>
    <w:rsid w:val="000B3FC7"/>
    <w:rsid w:val="000B5906"/>
    <w:rsid w:val="000B6074"/>
    <w:rsid w:val="000C33A8"/>
    <w:rsid w:val="000C3CF6"/>
    <w:rsid w:val="000C49F8"/>
    <w:rsid w:val="000C4EBF"/>
    <w:rsid w:val="000C5E9F"/>
    <w:rsid w:val="000C6241"/>
    <w:rsid w:val="000C7727"/>
    <w:rsid w:val="000D013F"/>
    <w:rsid w:val="000D143E"/>
    <w:rsid w:val="000D249D"/>
    <w:rsid w:val="000D25C6"/>
    <w:rsid w:val="000D31D9"/>
    <w:rsid w:val="000D3735"/>
    <w:rsid w:val="000D3EFD"/>
    <w:rsid w:val="000D62FB"/>
    <w:rsid w:val="000D64B9"/>
    <w:rsid w:val="000D72F0"/>
    <w:rsid w:val="000D7DD7"/>
    <w:rsid w:val="000E1F5D"/>
    <w:rsid w:val="000E4A4A"/>
    <w:rsid w:val="000E57ED"/>
    <w:rsid w:val="000E5EC1"/>
    <w:rsid w:val="000E66CE"/>
    <w:rsid w:val="000E7C93"/>
    <w:rsid w:val="000F068F"/>
    <w:rsid w:val="000F0C01"/>
    <w:rsid w:val="000F20CD"/>
    <w:rsid w:val="000F2B69"/>
    <w:rsid w:val="000F37D8"/>
    <w:rsid w:val="000F391E"/>
    <w:rsid w:val="000F4D55"/>
    <w:rsid w:val="000F59BE"/>
    <w:rsid w:val="000F65CC"/>
    <w:rsid w:val="000F7319"/>
    <w:rsid w:val="001008C1"/>
    <w:rsid w:val="00100B42"/>
    <w:rsid w:val="001010BA"/>
    <w:rsid w:val="001012F4"/>
    <w:rsid w:val="00103837"/>
    <w:rsid w:val="00103CA9"/>
    <w:rsid w:val="00104AF5"/>
    <w:rsid w:val="001054A3"/>
    <w:rsid w:val="00105ED8"/>
    <w:rsid w:val="00110F3E"/>
    <w:rsid w:val="00112196"/>
    <w:rsid w:val="001123B7"/>
    <w:rsid w:val="00113768"/>
    <w:rsid w:val="00115196"/>
    <w:rsid w:val="0011533F"/>
    <w:rsid w:val="00115AB9"/>
    <w:rsid w:val="0011674D"/>
    <w:rsid w:val="00117E4B"/>
    <w:rsid w:val="00120C4A"/>
    <w:rsid w:val="001241FA"/>
    <w:rsid w:val="00124C7E"/>
    <w:rsid w:val="00125CAC"/>
    <w:rsid w:val="00125EAB"/>
    <w:rsid w:val="00127988"/>
    <w:rsid w:val="00130263"/>
    <w:rsid w:val="00131451"/>
    <w:rsid w:val="0013248D"/>
    <w:rsid w:val="001335E6"/>
    <w:rsid w:val="0013392A"/>
    <w:rsid w:val="001352E2"/>
    <w:rsid w:val="00135864"/>
    <w:rsid w:val="00136ED6"/>
    <w:rsid w:val="00141CB3"/>
    <w:rsid w:val="00142107"/>
    <w:rsid w:val="0014286A"/>
    <w:rsid w:val="001432B5"/>
    <w:rsid w:val="00143565"/>
    <w:rsid w:val="0014358F"/>
    <w:rsid w:val="00143EC9"/>
    <w:rsid w:val="00147067"/>
    <w:rsid w:val="00150A9B"/>
    <w:rsid w:val="001516BA"/>
    <w:rsid w:val="0015349D"/>
    <w:rsid w:val="001541E3"/>
    <w:rsid w:val="00157153"/>
    <w:rsid w:val="001600F4"/>
    <w:rsid w:val="00160ED6"/>
    <w:rsid w:val="001615E9"/>
    <w:rsid w:val="00163ADA"/>
    <w:rsid w:val="00164D66"/>
    <w:rsid w:val="001656B7"/>
    <w:rsid w:val="00166BD5"/>
    <w:rsid w:val="00166D2E"/>
    <w:rsid w:val="001676D6"/>
    <w:rsid w:val="001704AA"/>
    <w:rsid w:val="001711C4"/>
    <w:rsid w:val="0017277D"/>
    <w:rsid w:val="001738A6"/>
    <w:rsid w:val="00173E11"/>
    <w:rsid w:val="001748CE"/>
    <w:rsid w:val="00175491"/>
    <w:rsid w:val="001775C1"/>
    <w:rsid w:val="00177A0C"/>
    <w:rsid w:val="001808A6"/>
    <w:rsid w:val="00181CA3"/>
    <w:rsid w:val="00181E90"/>
    <w:rsid w:val="0018204D"/>
    <w:rsid w:val="0018210B"/>
    <w:rsid w:val="00184E2A"/>
    <w:rsid w:val="00186998"/>
    <w:rsid w:val="00187AC0"/>
    <w:rsid w:val="00187B9F"/>
    <w:rsid w:val="00187FD7"/>
    <w:rsid w:val="00191379"/>
    <w:rsid w:val="00192B0B"/>
    <w:rsid w:val="00193CE3"/>
    <w:rsid w:val="00194024"/>
    <w:rsid w:val="0019513F"/>
    <w:rsid w:val="00196A88"/>
    <w:rsid w:val="00196B77"/>
    <w:rsid w:val="00196CB9"/>
    <w:rsid w:val="001A04E0"/>
    <w:rsid w:val="001A05F5"/>
    <w:rsid w:val="001A0B08"/>
    <w:rsid w:val="001A29C0"/>
    <w:rsid w:val="001A2CC7"/>
    <w:rsid w:val="001A3F29"/>
    <w:rsid w:val="001A4C11"/>
    <w:rsid w:val="001A5E3A"/>
    <w:rsid w:val="001A690B"/>
    <w:rsid w:val="001B03EA"/>
    <w:rsid w:val="001B3694"/>
    <w:rsid w:val="001B3C6C"/>
    <w:rsid w:val="001B4611"/>
    <w:rsid w:val="001B4D39"/>
    <w:rsid w:val="001B500D"/>
    <w:rsid w:val="001B5AD4"/>
    <w:rsid w:val="001B76AB"/>
    <w:rsid w:val="001C16ED"/>
    <w:rsid w:val="001C4454"/>
    <w:rsid w:val="001C48B8"/>
    <w:rsid w:val="001C4C63"/>
    <w:rsid w:val="001C4D54"/>
    <w:rsid w:val="001C681E"/>
    <w:rsid w:val="001C705A"/>
    <w:rsid w:val="001C760B"/>
    <w:rsid w:val="001D00EB"/>
    <w:rsid w:val="001D2B76"/>
    <w:rsid w:val="001D2D94"/>
    <w:rsid w:val="001D4259"/>
    <w:rsid w:val="001D4359"/>
    <w:rsid w:val="001D4C6F"/>
    <w:rsid w:val="001D5ACB"/>
    <w:rsid w:val="001D677C"/>
    <w:rsid w:val="001D76F6"/>
    <w:rsid w:val="001E0F71"/>
    <w:rsid w:val="001E1D12"/>
    <w:rsid w:val="001E229E"/>
    <w:rsid w:val="001E3D88"/>
    <w:rsid w:val="001E3DBA"/>
    <w:rsid w:val="001E44BE"/>
    <w:rsid w:val="001E5636"/>
    <w:rsid w:val="001E5995"/>
    <w:rsid w:val="001E5A02"/>
    <w:rsid w:val="001F00C9"/>
    <w:rsid w:val="001F087A"/>
    <w:rsid w:val="001F099B"/>
    <w:rsid w:val="001F141E"/>
    <w:rsid w:val="001F3C91"/>
    <w:rsid w:val="001F433D"/>
    <w:rsid w:val="001F44B9"/>
    <w:rsid w:val="001F5EBE"/>
    <w:rsid w:val="001F7C58"/>
    <w:rsid w:val="00201292"/>
    <w:rsid w:val="00201D6D"/>
    <w:rsid w:val="002047CA"/>
    <w:rsid w:val="00210D9D"/>
    <w:rsid w:val="00212A4F"/>
    <w:rsid w:val="002133FA"/>
    <w:rsid w:val="00214211"/>
    <w:rsid w:val="00214281"/>
    <w:rsid w:val="002144A1"/>
    <w:rsid w:val="00214ED5"/>
    <w:rsid w:val="0021508C"/>
    <w:rsid w:val="00215109"/>
    <w:rsid w:val="002156FF"/>
    <w:rsid w:val="00216105"/>
    <w:rsid w:val="002208D3"/>
    <w:rsid w:val="00220A33"/>
    <w:rsid w:val="00222064"/>
    <w:rsid w:val="0022208E"/>
    <w:rsid w:val="00224586"/>
    <w:rsid w:val="0022568B"/>
    <w:rsid w:val="00225B0D"/>
    <w:rsid w:val="0022637A"/>
    <w:rsid w:val="00226CF1"/>
    <w:rsid w:val="00227927"/>
    <w:rsid w:val="00230007"/>
    <w:rsid w:val="00230A33"/>
    <w:rsid w:val="00232763"/>
    <w:rsid w:val="00233F3C"/>
    <w:rsid w:val="0023444F"/>
    <w:rsid w:val="00234C29"/>
    <w:rsid w:val="0023793A"/>
    <w:rsid w:val="00240725"/>
    <w:rsid w:val="00240E30"/>
    <w:rsid w:val="00241F4D"/>
    <w:rsid w:val="002430CC"/>
    <w:rsid w:val="00245D1D"/>
    <w:rsid w:val="00245E8C"/>
    <w:rsid w:val="0024794E"/>
    <w:rsid w:val="002505AD"/>
    <w:rsid w:val="00251718"/>
    <w:rsid w:val="00251782"/>
    <w:rsid w:val="00252FB4"/>
    <w:rsid w:val="00253332"/>
    <w:rsid w:val="0025412D"/>
    <w:rsid w:val="002541E1"/>
    <w:rsid w:val="00255368"/>
    <w:rsid w:val="0025558C"/>
    <w:rsid w:val="002562EC"/>
    <w:rsid w:val="00256378"/>
    <w:rsid w:val="00256D5A"/>
    <w:rsid w:val="0025770C"/>
    <w:rsid w:val="00261B65"/>
    <w:rsid w:val="0026387D"/>
    <w:rsid w:val="00264751"/>
    <w:rsid w:val="002653B5"/>
    <w:rsid w:val="00265987"/>
    <w:rsid w:val="00265C49"/>
    <w:rsid w:val="002678E1"/>
    <w:rsid w:val="00271F56"/>
    <w:rsid w:val="00272EE2"/>
    <w:rsid w:val="0027337F"/>
    <w:rsid w:val="00273F56"/>
    <w:rsid w:val="002749DE"/>
    <w:rsid w:val="00274B9A"/>
    <w:rsid w:val="00274E22"/>
    <w:rsid w:val="00274F58"/>
    <w:rsid w:val="002759E7"/>
    <w:rsid w:val="00280912"/>
    <w:rsid w:val="0028249F"/>
    <w:rsid w:val="00282A71"/>
    <w:rsid w:val="00282BF2"/>
    <w:rsid w:val="00282F53"/>
    <w:rsid w:val="0028309A"/>
    <w:rsid w:val="002844B7"/>
    <w:rsid w:val="002849A1"/>
    <w:rsid w:val="00285167"/>
    <w:rsid w:val="0028794D"/>
    <w:rsid w:val="00290984"/>
    <w:rsid w:val="002917CE"/>
    <w:rsid w:val="002927A5"/>
    <w:rsid w:val="00293131"/>
    <w:rsid w:val="0029410F"/>
    <w:rsid w:val="0029523B"/>
    <w:rsid w:val="0029739B"/>
    <w:rsid w:val="002976F6"/>
    <w:rsid w:val="0029798F"/>
    <w:rsid w:val="00297B33"/>
    <w:rsid w:val="002A0547"/>
    <w:rsid w:val="002A1ACC"/>
    <w:rsid w:val="002A3C40"/>
    <w:rsid w:val="002A4D2E"/>
    <w:rsid w:val="002A5019"/>
    <w:rsid w:val="002A5C26"/>
    <w:rsid w:val="002A62C8"/>
    <w:rsid w:val="002A7845"/>
    <w:rsid w:val="002A7D63"/>
    <w:rsid w:val="002B010E"/>
    <w:rsid w:val="002B12D5"/>
    <w:rsid w:val="002B20D3"/>
    <w:rsid w:val="002B2C41"/>
    <w:rsid w:val="002B34BF"/>
    <w:rsid w:val="002B4F20"/>
    <w:rsid w:val="002B6429"/>
    <w:rsid w:val="002B7A0C"/>
    <w:rsid w:val="002B7B35"/>
    <w:rsid w:val="002C06FF"/>
    <w:rsid w:val="002C1AAD"/>
    <w:rsid w:val="002C1D22"/>
    <w:rsid w:val="002C30DB"/>
    <w:rsid w:val="002C3325"/>
    <w:rsid w:val="002C54C8"/>
    <w:rsid w:val="002C6AD7"/>
    <w:rsid w:val="002D149A"/>
    <w:rsid w:val="002D1D58"/>
    <w:rsid w:val="002D1EDF"/>
    <w:rsid w:val="002D2F03"/>
    <w:rsid w:val="002D3F33"/>
    <w:rsid w:val="002D6433"/>
    <w:rsid w:val="002D7379"/>
    <w:rsid w:val="002E0053"/>
    <w:rsid w:val="002E0798"/>
    <w:rsid w:val="002E0A04"/>
    <w:rsid w:val="002E1FF4"/>
    <w:rsid w:val="002E27A2"/>
    <w:rsid w:val="002E2E26"/>
    <w:rsid w:val="002E48DE"/>
    <w:rsid w:val="002E5974"/>
    <w:rsid w:val="002E7D44"/>
    <w:rsid w:val="002F10C0"/>
    <w:rsid w:val="002F2767"/>
    <w:rsid w:val="002F3CAD"/>
    <w:rsid w:val="002F4460"/>
    <w:rsid w:val="002F5397"/>
    <w:rsid w:val="002F5ECA"/>
    <w:rsid w:val="0030290B"/>
    <w:rsid w:val="00306581"/>
    <w:rsid w:val="00307659"/>
    <w:rsid w:val="00310C49"/>
    <w:rsid w:val="00311731"/>
    <w:rsid w:val="00312150"/>
    <w:rsid w:val="00313329"/>
    <w:rsid w:val="00314288"/>
    <w:rsid w:val="003148F8"/>
    <w:rsid w:val="003153B3"/>
    <w:rsid w:val="00321774"/>
    <w:rsid w:val="00321DC2"/>
    <w:rsid w:val="003229AB"/>
    <w:rsid w:val="00322DDA"/>
    <w:rsid w:val="00323D37"/>
    <w:rsid w:val="003277FF"/>
    <w:rsid w:val="00327823"/>
    <w:rsid w:val="00327DDA"/>
    <w:rsid w:val="00331601"/>
    <w:rsid w:val="00332EE5"/>
    <w:rsid w:val="003338C7"/>
    <w:rsid w:val="00334C29"/>
    <w:rsid w:val="00335512"/>
    <w:rsid w:val="00337BCA"/>
    <w:rsid w:val="003447AC"/>
    <w:rsid w:val="0034569D"/>
    <w:rsid w:val="0034611F"/>
    <w:rsid w:val="003472D3"/>
    <w:rsid w:val="003502ED"/>
    <w:rsid w:val="003527DC"/>
    <w:rsid w:val="003528DA"/>
    <w:rsid w:val="0035334E"/>
    <w:rsid w:val="00353B02"/>
    <w:rsid w:val="00353F12"/>
    <w:rsid w:val="003553C8"/>
    <w:rsid w:val="00355780"/>
    <w:rsid w:val="00356B81"/>
    <w:rsid w:val="00357473"/>
    <w:rsid w:val="0036024C"/>
    <w:rsid w:val="00362053"/>
    <w:rsid w:val="0036295C"/>
    <w:rsid w:val="00363DC3"/>
    <w:rsid w:val="00363FFD"/>
    <w:rsid w:val="00364088"/>
    <w:rsid w:val="00364BF1"/>
    <w:rsid w:val="00364F36"/>
    <w:rsid w:val="00365FB5"/>
    <w:rsid w:val="003667A1"/>
    <w:rsid w:val="00366B4D"/>
    <w:rsid w:val="003671AA"/>
    <w:rsid w:val="00371587"/>
    <w:rsid w:val="003718A5"/>
    <w:rsid w:val="0037231F"/>
    <w:rsid w:val="00372B35"/>
    <w:rsid w:val="00372C9B"/>
    <w:rsid w:val="00373EBC"/>
    <w:rsid w:val="00374E01"/>
    <w:rsid w:val="0037561D"/>
    <w:rsid w:val="00376B72"/>
    <w:rsid w:val="00377747"/>
    <w:rsid w:val="00377AFB"/>
    <w:rsid w:val="00377C09"/>
    <w:rsid w:val="00377E8F"/>
    <w:rsid w:val="003808EA"/>
    <w:rsid w:val="0038145F"/>
    <w:rsid w:val="003817E6"/>
    <w:rsid w:val="003827A5"/>
    <w:rsid w:val="003830D9"/>
    <w:rsid w:val="003832CB"/>
    <w:rsid w:val="003834D5"/>
    <w:rsid w:val="00383592"/>
    <w:rsid w:val="00383666"/>
    <w:rsid w:val="00384E84"/>
    <w:rsid w:val="00386BBD"/>
    <w:rsid w:val="003872AC"/>
    <w:rsid w:val="00387D05"/>
    <w:rsid w:val="00387E4B"/>
    <w:rsid w:val="00387F30"/>
    <w:rsid w:val="00391A83"/>
    <w:rsid w:val="00393C7D"/>
    <w:rsid w:val="00395D57"/>
    <w:rsid w:val="00396DBD"/>
    <w:rsid w:val="003972B9"/>
    <w:rsid w:val="00397CF1"/>
    <w:rsid w:val="003A010F"/>
    <w:rsid w:val="003A0F08"/>
    <w:rsid w:val="003A1F4D"/>
    <w:rsid w:val="003A30A3"/>
    <w:rsid w:val="003A5BCE"/>
    <w:rsid w:val="003A60F0"/>
    <w:rsid w:val="003A61AE"/>
    <w:rsid w:val="003A679E"/>
    <w:rsid w:val="003A691D"/>
    <w:rsid w:val="003A6A10"/>
    <w:rsid w:val="003A7D36"/>
    <w:rsid w:val="003B02E9"/>
    <w:rsid w:val="003B0BFC"/>
    <w:rsid w:val="003B0DB2"/>
    <w:rsid w:val="003B1FC5"/>
    <w:rsid w:val="003B5029"/>
    <w:rsid w:val="003B585C"/>
    <w:rsid w:val="003B6F44"/>
    <w:rsid w:val="003B7022"/>
    <w:rsid w:val="003B72AA"/>
    <w:rsid w:val="003C0693"/>
    <w:rsid w:val="003C16AC"/>
    <w:rsid w:val="003C20B3"/>
    <w:rsid w:val="003C3563"/>
    <w:rsid w:val="003C438F"/>
    <w:rsid w:val="003C549B"/>
    <w:rsid w:val="003C6CA6"/>
    <w:rsid w:val="003D2BA8"/>
    <w:rsid w:val="003D46BC"/>
    <w:rsid w:val="003D4B7B"/>
    <w:rsid w:val="003D60F0"/>
    <w:rsid w:val="003D6D99"/>
    <w:rsid w:val="003D7DC2"/>
    <w:rsid w:val="003E08B0"/>
    <w:rsid w:val="003E101B"/>
    <w:rsid w:val="003E2A70"/>
    <w:rsid w:val="003E3B15"/>
    <w:rsid w:val="003E4F6F"/>
    <w:rsid w:val="003E69D7"/>
    <w:rsid w:val="003E6E8D"/>
    <w:rsid w:val="003E7769"/>
    <w:rsid w:val="003F0596"/>
    <w:rsid w:val="003F08DC"/>
    <w:rsid w:val="003F4108"/>
    <w:rsid w:val="003F54E8"/>
    <w:rsid w:val="003F557F"/>
    <w:rsid w:val="003F56FA"/>
    <w:rsid w:val="003F5D18"/>
    <w:rsid w:val="004012C5"/>
    <w:rsid w:val="00401EE2"/>
    <w:rsid w:val="00403B22"/>
    <w:rsid w:val="0040534B"/>
    <w:rsid w:val="004054EF"/>
    <w:rsid w:val="00406929"/>
    <w:rsid w:val="00407183"/>
    <w:rsid w:val="004076F9"/>
    <w:rsid w:val="004105AC"/>
    <w:rsid w:val="00410BE4"/>
    <w:rsid w:val="004114BA"/>
    <w:rsid w:val="004118BB"/>
    <w:rsid w:val="004131B9"/>
    <w:rsid w:val="004147A1"/>
    <w:rsid w:val="0041746C"/>
    <w:rsid w:val="004177B6"/>
    <w:rsid w:val="00421540"/>
    <w:rsid w:val="00421B7E"/>
    <w:rsid w:val="00423B70"/>
    <w:rsid w:val="00424086"/>
    <w:rsid w:val="00430513"/>
    <w:rsid w:val="00430B17"/>
    <w:rsid w:val="004317A1"/>
    <w:rsid w:val="0043181C"/>
    <w:rsid w:val="004318B9"/>
    <w:rsid w:val="00432E2A"/>
    <w:rsid w:val="00433BC8"/>
    <w:rsid w:val="00434707"/>
    <w:rsid w:val="00435703"/>
    <w:rsid w:val="004372A4"/>
    <w:rsid w:val="00437E21"/>
    <w:rsid w:val="00437F43"/>
    <w:rsid w:val="00443F5D"/>
    <w:rsid w:val="0044418E"/>
    <w:rsid w:val="0044665A"/>
    <w:rsid w:val="0044743E"/>
    <w:rsid w:val="004508F3"/>
    <w:rsid w:val="00451D24"/>
    <w:rsid w:val="00455797"/>
    <w:rsid w:val="00455EB3"/>
    <w:rsid w:val="00456B0E"/>
    <w:rsid w:val="00456D85"/>
    <w:rsid w:val="00460AAF"/>
    <w:rsid w:val="00460E88"/>
    <w:rsid w:val="0046116A"/>
    <w:rsid w:val="00461BE3"/>
    <w:rsid w:val="00461F2E"/>
    <w:rsid w:val="0046223D"/>
    <w:rsid w:val="0046249C"/>
    <w:rsid w:val="00462CA1"/>
    <w:rsid w:val="004659AA"/>
    <w:rsid w:val="004660A9"/>
    <w:rsid w:val="00466B9F"/>
    <w:rsid w:val="00466DE8"/>
    <w:rsid w:val="0047067F"/>
    <w:rsid w:val="00472870"/>
    <w:rsid w:val="00473588"/>
    <w:rsid w:val="004765C5"/>
    <w:rsid w:val="00480133"/>
    <w:rsid w:val="00480CBC"/>
    <w:rsid w:val="00480EB9"/>
    <w:rsid w:val="0048210D"/>
    <w:rsid w:val="00482B8C"/>
    <w:rsid w:val="0048334F"/>
    <w:rsid w:val="004833D9"/>
    <w:rsid w:val="00483E7D"/>
    <w:rsid w:val="00484C77"/>
    <w:rsid w:val="00485920"/>
    <w:rsid w:val="00486DF7"/>
    <w:rsid w:val="0049329D"/>
    <w:rsid w:val="00493664"/>
    <w:rsid w:val="004945C5"/>
    <w:rsid w:val="004953FC"/>
    <w:rsid w:val="004963FC"/>
    <w:rsid w:val="00496B45"/>
    <w:rsid w:val="004975C0"/>
    <w:rsid w:val="00497648"/>
    <w:rsid w:val="004A0F67"/>
    <w:rsid w:val="004A1E7B"/>
    <w:rsid w:val="004A2761"/>
    <w:rsid w:val="004A31E2"/>
    <w:rsid w:val="004A4246"/>
    <w:rsid w:val="004A5062"/>
    <w:rsid w:val="004A5589"/>
    <w:rsid w:val="004A5E7B"/>
    <w:rsid w:val="004B0ACC"/>
    <w:rsid w:val="004B2048"/>
    <w:rsid w:val="004B3E5E"/>
    <w:rsid w:val="004B474D"/>
    <w:rsid w:val="004B4BCE"/>
    <w:rsid w:val="004B4C52"/>
    <w:rsid w:val="004B5C4B"/>
    <w:rsid w:val="004B63ED"/>
    <w:rsid w:val="004C2EBB"/>
    <w:rsid w:val="004C4605"/>
    <w:rsid w:val="004C51FD"/>
    <w:rsid w:val="004C6949"/>
    <w:rsid w:val="004C7E98"/>
    <w:rsid w:val="004D09DC"/>
    <w:rsid w:val="004D1912"/>
    <w:rsid w:val="004D1CFE"/>
    <w:rsid w:val="004D27E7"/>
    <w:rsid w:val="004D2864"/>
    <w:rsid w:val="004D4208"/>
    <w:rsid w:val="004D4823"/>
    <w:rsid w:val="004D4EB9"/>
    <w:rsid w:val="004D62E8"/>
    <w:rsid w:val="004E192E"/>
    <w:rsid w:val="004E24F8"/>
    <w:rsid w:val="004E4A96"/>
    <w:rsid w:val="004E4CD3"/>
    <w:rsid w:val="004E5755"/>
    <w:rsid w:val="004E7656"/>
    <w:rsid w:val="004F016A"/>
    <w:rsid w:val="004F2202"/>
    <w:rsid w:val="004F3C8B"/>
    <w:rsid w:val="004F53DD"/>
    <w:rsid w:val="004F66C3"/>
    <w:rsid w:val="00500B83"/>
    <w:rsid w:val="00502001"/>
    <w:rsid w:val="005020B2"/>
    <w:rsid w:val="00502915"/>
    <w:rsid w:val="00503C87"/>
    <w:rsid w:val="005055DB"/>
    <w:rsid w:val="00505712"/>
    <w:rsid w:val="00505784"/>
    <w:rsid w:val="0051006A"/>
    <w:rsid w:val="00511E93"/>
    <w:rsid w:val="005124C0"/>
    <w:rsid w:val="0051392E"/>
    <w:rsid w:val="00514457"/>
    <w:rsid w:val="0051475A"/>
    <w:rsid w:val="0051692D"/>
    <w:rsid w:val="00516AF5"/>
    <w:rsid w:val="005172A9"/>
    <w:rsid w:val="00520FF8"/>
    <w:rsid w:val="005211EE"/>
    <w:rsid w:val="00521628"/>
    <w:rsid w:val="00521BA5"/>
    <w:rsid w:val="00522EDA"/>
    <w:rsid w:val="005237E2"/>
    <w:rsid w:val="00523873"/>
    <w:rsid w:val="0052698E"/>
    <w:rsid w:val="00526B02"/>
    <w:rsid w:val="00527FA4"/>
    <w:rsid w:val="00531438"/>
    <w:rsid w:val="005318F6"/>
    <w:rsid w:val="00531E64"/>
    <w:rsid w:val="00532149"/>
    <w:rsid w:val="00532457"/>
    <w:rsid w:val="00532E09"/>
    <w:rsid w:val="00533600"/>
    <w:rsid w:val="00535251"/>
    <w:rsid w:val="00537B35"/>
    <w:rsid w:val="00537EBF"/>
    <w:rsid w:val="005402F7"/>
    <w:rsid w:val="00543060"/>
    <w:rsid w:val="0054481C"/>
    <w:rsid w:val="0054482D"/>
    <w:rsid w:val="00544C1D"/>
    <w:rsid w:val="00545967"/>
    <w:rsid w:val="005467D2"/>
    <w:rsid w:val="00546CFD"/>
    <w:rsid w:val="00550855"/>
    <w:rsid w:val="00550CA8"/>
    <w:rsid w:val="005521CD"/>
    <w:rsid w:val="00552FB0"/>
    <w:rsid w:val="0055471B"/>
    <w:rsid w:val="0055474C"/>
    <w:rsid w:val="00554A5E"/>
    <w:rsid w:val="00555154"/>
    <w:rsid w:val="005571BB"/>
    <w:rsid w:val="005575DC"/>
    <w:rsid w:val="00557A9F"/>
    <w:rsid w:val="0056135F"/>
    <w:rsid w:val="00562181"/>
    <w:rsid w:val="00562C1F"/>
    <w:rsid w:val="0056347F"/>
    <w:rsid w:val="00564BB0"/>
    <w:rsid w:val="005654E5"/>
    <w:rsid w:val="00565757"/>
    <w:rsid w:val="00566BAF"/>
    <w:rsid w:val="00567598"/>
    <w:rsid w:val="0056786D"/>
    <w:rsid w:val="00571430"/>
    <w:rsid w:val="00572C71"/>
    <w:rsid w:val="00573A45"/>
    <w:rsid w:val="00574641"/>
    <w:rsid w:val="00574D42"/>
    <w:rsid w:val="005756BB"/>
    <w:rsid w:val="00575857"/>
    <w:rsid w:val="005763F5"/>
    <w:rsid w:val="005764F8"/>
    <w:rsid w:val="005765EC"/>
    <w:rsid w:val="005769FC"/>
    <w:rsid w:val="005772DF"/>
    <w:rsid w:val="00577CE5"/>
    <w:rsid w:val="00577D05"/>
    <w:rsid w:val="00580CBB"/>
    <w:rsid w:val="00581325"/>
    <w:rsid w:val="005830EE"/>
    <w:rsid w:val="005840A2"/>
    <w:rsid w:val="00584145"/>
    <w:rsid w:val="00587874"/>
    <w:rsid w:val="00590C32"/>
    <w:rsid w:val="00590DD3"/>
    <w:rsid w:val="00592DDA"/>
    <w:rsid w:val="00593D58"/>
    <w:rsid w:val="00594696"/>
    <w:rsid w:val="00594737"/>
    <w:rsid w:val="0059570C"/>
    <w:rsid w:val="00595AE9"/>
    <w:rsid w:val="005967CA"/>
    <w:rsid w:val="00596B78"/>
    <w:rsid w:val="00596D7E"/>
    <w:rsid w:val="00597A70"/>
    <w:rsid w:val="00597D2C"/>
    <w:rsid w:val="005A045A"/>
    <w:rsid w:val="005A263F"/>
    <w:rsid w:val="005A3442"/>
    <w:rsid w:val="005A5E21"/>
    <w:rsid w:val="005A6E85"/>
    <w:rsid w:val="005A70C0"/>
    <w:rsid w:val="005B022E"/>
    <w:rsid w:val="005B0F9F"/>
    <w:rsid w:val="005B0FB4"/>
    <w:rsid w:val="005B3515"/>
    <w:rsid w:val="005B5224"/>
    <w:rsid w:val="005B59E1"/>
    <w:rsid w:val="005B5FE7"/>
    <w:rsid w:val="005C1542"/>
    <w:rsid w:val="005C22DA"/>
    <w:rsid w:val="005C24EA"/>
    <w:rsid w:val="005C28EB"/>
    <w:rsid w:val="005C2E59"/>
    <w:rsid w:val="005C46AF"/>
    <w:rsid w:val="005C4760"/>
    <w:rsid w:val="005C5195"/>
    <w:rsid w:val="005C74BA"/>
    <w:rsid w:val="005C75E4"/>
    <w:rsid w:val="005C7BBF"/>
    <w:rsid w:val="005D0456"/>
    <w:rsid w:val="005D0FAF"/>
    <w:rsid w:val="005D1105"/>
    <w:rsid w:val="005D14D7"/>
    <w:rsid w:val="005D1EE1"/>
    <w:rsid w:val="005D23E9"/>
    <w:rsid w:val="005D3167"/>
    <w:rsid w:val="005D34F2"/>
    <w:rsid w:val="005D3A61"/>
    <w:rsid w:val="005D4CFC"/>
    <w:rsid w:val="005D7AD1"/>
    <w:rsid w:val="005E0129"/>
    <w:rsid w:val="005E0196"/>
    <w:rsid w:val="005E01AE"/>
    <w:rsid w:val="005E10D8"/>
    <w:rsid w:val="005E319A"/>
    <w:rsid w:val="005E3A2F"/>
    <w:rsid w:val="005E5F5F"/>
    <w:rsid w:val="005E6822"/>
    <w:rsid w:val="005E7FDF"/>
    <w:rsid w:val="005F07D3"/>
    <w:rsid w:val="005F16B4"/>
    <w:rsid w:val="005F1EA1"/>
    <w:rsid w:val="005F2F4F"/>
    <w:rsid w:val="005F548F"/>
    <w:rsid w:val="005F6031"/>
    <w:rsid w:val="005F7E9C"/>
    <w:rsid w:val="00600893"/>
    <w:rsid w:val="00600E2A"/>
    <w:rsid w:val="00601F9D"/>
    <w:rsid w:val="006029E4"/>
    <w:rsid w:val="0060786A"/>
    <w:rsid w:val="0061007F"/>
    <w:rsid w:val="00610D51"/>
    <w:rsid w:val="00610ED3"/>
    <w:rsid w:val="00610FC6"/>
    <w:rsid w:val="006119D2"/>
    <w:rsid w:val="00611B0F"/>
    <w:rsid w:val="006128CB"/>
    <w:rsid w:val="00613F0C"/>
    <w:rsid w:val="006154C1"/>
    <w:rsid w:val="006165FB"/>
    <w:rsid w:val="00616667"/>
    <w:rsid w:val="006172F3"/>
    <w:rsid w:val="0061739B"/>
    <w:rsid w:val="0062040F"/>
    <w:rsid w:val="00620DF4"/>
    <w:rsid w:val="00622CD8"/>
    <w:rsid w:val="00622F29"/>
    <w:rsid w:val="0062417E"/>
    <w:rsid w:val="006241C0"/>
    <w:rsid w:val="00624556"/>
    <w:rsid w:val="00624D63"/>
    <w:rsid w:val="006274F6"/>
    <w:rsid w:val="00627BAE"/>
    <w:rsid w:val="006305AF"/>
    <w:rsid w:val="0063066D"/>
    <w:rsid w:val="006316D8"/>
    <w:rsid w:val="006317A3"/>
    <w:rsid w:val="00631A4B"/>
    <w:rsid w:val="006321E3"/>
    <w:rsid w:val="006328CA"/>
    <w:rsid w:val="006331BE"/>
    <w:rsid w:val="00633681"/>
    <w:rsid w:val="00633883"/>
    <w:rsid w:val="006338A2"/>
    <w:rsid w:val="00636C64"/>
    <w:rsid w:val="00640FC0"/>
    <w:rsid w:val="00641DB2"/>
    <w:rsid w:val="00643BCE"/>
    <w:rsid w:val="006444A8"/>
    <w:rsid w:val="0064578B"/>
    <w:rsid w:val="00646607"/>
    <w:rsid w:val="00646726"/>
    <w:rsid w:val="0064678B"/>
    <w:rsid w:val="00646860"/>
    <w:rsid w:val="00646DF3"/>
    <w:rsid w:val="00647875"/>
    <w:rsid w:val="00650305"/>
    <w:rsid w:val="00650C0D"/>
    <w:rsid w:val="00652B84"/>
    <w:rsid w:val="00654391"/>
    <w:rsid w:val="0065687E"/>
    <w:rsid w:val="00656CCA"/>
    <w:rsid w:val="00660C6D"/>
    <w:rsid w:val="00660D0B"/>
    <w:rsid w:val="00661531"/>
    <w:rsid w:val="00664683"/>
    <w:rsid w:val="0066557C"/>
    <w:rsid w:val="006661A5"/>
    <w:rsid w:val="00666481"/>
    <w:rsid w:val="00666F9A"/>
    <w:rsid w:val="006713A0"/>
    <w:rsid w:val="00672A81"/>
    <w:rsid w:val="00673998"/>
    <w:rsid w:val="0067412A"/>
    <w:rsid w:val="00674B03"/>
    <w:rsid w:val="00674EFA"/>
    <w:rsid w:val="00675D53"/>
    <w:rsid w:val="006760AC"/>
    <w:rsid w:val="00676B8F"/>
    <w:rsid w:val="00677B7B"/>
    <w:rsid w:val="00680838"/>
    <w:rsid w:val="00681998"/>
    <w:rsid w:val="006825C3"/>
    <w:rsid w:val="00682E65"/>
    <w:rsid w:val="006857F7"/>
    <w:rsid w:val="00685AEC"/>
    <w:rsid w:val="0068655B"/>
    <w:rsid w:val="00691F62"/>
    <w:rsid w:val="00692318"/>
    <w:rsid w:val="00693DA6"/>
    <w:rsid w:val="00695461"/>
    <w:rsid w:val="00696D57"/>
    <w:rsid w:val="00697A58"/>
    <w:rsid w:val="00697E74"/>
    <w:rsid w:val="006A18DB"/>
    <w:rsid w:val="006A6572"/>
    <w:rsid w:val="006A7758"/>
    <w:rsid w:val="006A7B1E"/>
    <w:rsid w:val="006B0CB5"/>
    <w:rsid w:val="006B2661"/>
    <w:rsid w:val="006B3006"/>
    <w:rsid w:val="006B4692"/>
    <w:rsid w:val="006B4F16"/>
    <w:rsid w:val="006B5467"/>
    <w:rsid w:val="006B6994"/>
    <w:rsid w:val="006B7564"/>
    <w:rsid w:val="006B792F"/>
    <w:rsid w:val="006B7D3B"/>
    <w:rsid w:val="006C03BB"/>
    <w:rsid w:val="006C12E2"/>
    <w:rsid w:val="006C17C1"/>
    <w:rsid w:val="006C1844"/>
    <w:rsid w:val="006C2D2C"/>
    <w:rsid w:val="006C3D40"/>
    <w:rsid w:val="006C5546"/>
    <w:rsid w:val="006C68B3"/>
    <w:rsid w:val="006C6C99"/>
    <w:rsid w:val="006C7931"/>
    <w:rsid w:val="006D0989"/>
    <w:rsid w:val="006D26FE"/>
    <w:rsid w:val="006D3530"/>
    <w:rsid w:val="006D6370"/>
    <w:rsid w:val="006D770F"/>
    <w:rsid w:val="006D7BE8"/>
    <w:rsid w:val="006E05BA"/>
    <w:rsid w:val="006E51F4"/>
    <w:rsid w:val="006E6B6A"/>
    <w:rsid w:val="006E6B87"/>
    <w:rsid w:val="006F168A"/>
    <w:rsid w:val="006F3D83"/>
    <w:rsid w:val="006F5456"/>
    <w:rsid w:val="006F58B5"/>
    <w:rsid w:val="006F592B"/>
    <w:rsid w:val="006F7036"/>
    <w:rsid w:val="00700CD6"/>
    <w:rsid w:val="00703FE5"/>
    <w:rsid w:val="00704735"/>
    <w:rsid w:val="007058A7"/>
    <w:rsid w:val="007061C1"/>
    <w:rsid w:val="00706405"/>
    <w:rsid w:val="0070657E"/>
    <w:rsid w:val="00707147"/>
    <w:rsid w:val="00707D62"/>
    <w:rsid w:val="007102BF"/>
    <w:rsid w:val="00710C92"/>
    <w:rsid w:val="00712537"/>
    <w:rsid w:val="00712E9D"/>
    <w:rsid w:val="00713550"/>
    <w:rsid w:val="00716A7F"/>
    <w:rsid w:val="00720137"/>
    <w:rsid w:val="0072224B"/>
    <w:rsid w:val="00722DA4"/>
    <w:rsid w:val="00724BA5"/>
    <w:rsid w:val="00725811"/>
    <w:rsid w:val="00726609"/>
    <w:rsid w:val="0072665E"/>
    <w:rsid w:val="0072702D"/>
    <w:rsid w:val="00727A06"/>
    <w:rsid w:val="00730596"/>
    <w:rsid w:val="00730D90"/>
    <w:rsid w:val="00733A44"/>
    <w:rsid w:val="0073594F"/>
    <w:rsid w:val="00736C40"/>
    <w:rsid w:val="00736FF0"/>
    <w:rsid w:val="00737364"/>
    <w:rsid w:val="0074100A"/>
    <w:rsid w:val="00743836"/>
    <w:rsid w:val="00744F6C"/>
    <w:rsid w:val="00745CF8"/>
    <w:rsid w:val="00747795"/>
    <w:rsid w:val="007509BA"/>
    <w:rsid w:val="007509D0"/>
    <w:rsid w:val="00750E3E"/>
    <w:rsid w:val="007526BF"/>
    <w:rsid w:val="00752A6F"/>
    <w:rsid w:val="00752BB8"/>
    <w:rsid w:val="00752D6E"/>
    <w:rsid w:val="007531CA"/>
    <w:rsid w:val="00753EE0"/>
    <w:rsid w:val="0075449E"/>
    <w:rsid w:val="0075458B"/>
    <w:rsid w:val="00754744"/>
    <w:rsid w:val="007552C0"/>
    <w:rsid w:val="00757D81"/>
    <w:rsid w:val="00760166"/>
    <w:rsid w:val="0076075B"/>
    <w:rsid w:val="0076082C"/>
    <w:rsid w:val="00761DA9"/>
    <w:rsid w:val="00761E9B"/>
    <w:rsid w:val="00762465"/>
    <w:rsid w:val="00762645"/>
    <w:rsid w:val="00762F5F"/>
    <w:rsid w:val="00763BCF"/>
    <w:rsid w:val="0076403A"/>
    <w:rsid w:val="00766E8D"/>
    <w:rsid w:val="0076788C"/>
    <w:rsid w:val="0076799B"/>
    <w:rsid w:val="00771D75"/>
    <w:rsid w:val="00772CF1"/>
    <w:rsid w:val="007734C8"/>
    <w:rsid w:val="00773503"/>
    <w:rsid w:val="00773717"/>
    <w:rsid w:val="00773A78"/>
    <w:rsid w:val="00773E3A"/>
    <w:rsid w:val="00776E02"/>
    <w:rsid w:val="00780519"/>
    <w:rsid w:val="007810BC"/>
    <w:rsid w:val="007822AE"/>
    <w:rsid w:val="00785161"/>
    <w:rsid w:val="00785E33"/>
    <w:rsid w:val="00786A1D"/>
    <w:rsid w:val="00786DE7"/>
    <w:rsid w:val="007879FF"/>
    <w:rsid w:val="00787DAF"/>
    <w:rsid w:val="00787F10"/>
    <w:rsid w:val="00790555"/>
    <w:rsid w:val="00791BE0"/>
    <w:rsid w:val="00793615"/>
    <w:rsid w:val="00795CE2"/>
    <w:rsid w:val="007972EB"/>
    <w:rsid w:val="00797363"/>
    <w:rsid w:val="007A0FC9"/>
    <w:rsid w:val="007A2121"/>
    <w:rsid w:val="007A22E1"/>
    <w:rsid w:val="007A2B29"/>
    <w:rsid w:val="007A2F63"/>
    <w:rsid w:val="007A3444"/>
    <w:rsid w:val="007A4C42"/>
    <w:rsid w:val="007A51FD"/>
    <w:rsid w:val="007A6383"/>
    <w:rsid w:val="007A6407"/>
    <w:rsid w:val="007A7DF1"/>
    <w:rsid w:val="007B3200"/>
    <w:rsid w:val="007B5D47"/>
    <w:rsid w:val="007B6777"/>
    <w:rsid w:val="007C0CB6"/>
    <w:rsid w:val="007C1190"/>
    <w:rsid w:val="007C12A5"/>
    <w:rsid w:val="007C1DF4"/>
    <w:rsid w:val="007C3308"/>
    <w:rsid w:val="007C34AF"/>
    <w:rsid w:val="007C7E5B"/>
    <w:rsid w:val="007D09A0"/>
    <w:rsid w:val="007D0DFB"/>
    <w:rsid w:val="007D11C1"/>
    <w:rsid w:val="007D4598"/>
    <w:rsid w:val="007D4799"/>
    <w:rsid w:val="007D6769"/>
    <w:rsid w:val="007D6788"/>
    <w:rsid w:val="007D7B1A"/>
    <w:rsid w:val="007E0612"/>
    <w:rsid w:val="007E1115"/>
    <w:rsid w:val="007E21B5"/>
    <w:rsid w:val="007E2768"/>
    <w:rsid w:val="007E48A6"/>
    <w:rsid w:val="007E4AB5"/>
    <w:rsid w:val="007E4DA4"/>
    <w:rsid w:val="007E5EE5"/>
    <w:rsid w:val="007E5FBE"/>
    <w:rsid w:val="007E7223"/>
    <w:rsid w:val="007F02D9"/>
    <w:rsid w:val="007F04BF"/>
    <w:rsid w:val="007F0769"/>
    <w:rsid w:val="007F2958"/>
    <w:rsid w:val="007F323C"/>
    <w:rsid w:val="007F438E"/>
    <w:rsid w:val="007F664C"/>
    <w:rsid w:val="007F6FFA"/>
    <w:rsid w:val="008003A4"/>
    <w:rsid w:val="00801949"/>
    <w:rsid w:val="00802702"/>
    <w:rsid w:val="00803387"/>
    <w:rsid w:val="0080515C"/>
    <w:rsid w:val="008058E0"/>
    <w:rsid w:val="008058F0"/>
    <w:rsid w:val="00805FB6"/>
    <w:rsid w:val="00806328"/>
    <w:rsid w:val="00807098"/>
    <w:rsid w:val="00807502"/>
    <w:rsid w:val="008103AC"/>
    <w:rsid w:val="00810D6A"/>
    <w:rsid w:val="00811AF9"/>
    <w:rsid w:val="00811BE8"/>
    <w:rsid w:val="00811E1E"/>
    <w:rsid w:val="0081201D"/>
    <w:rsid w:val="008138C5"/>
    <w:rsid w:val="00814C84"/>
    <w:rsid w:val="00816063"/>
    <w:rsid w:val="00816363"/>
    <w:rsid w:val="00816D52"/>
    <w:rsid w:val="0081723F"/>
    <w:rsid w:val="00817468"/>
    <w:rsid w:val="008202B9"/>
    <w:rsid w:val="0082072D"/>
    <w:rsid w:val="00821797"/>
    <w:rsid w:val="00821D31"/>
    <w:rsid w:val="00823B0C"/>
    <w:rsid w:val="008249C8"/>
    <w:rsid w:val="00830B11"/>
    <w:rsid w:val="00832102"/>
    <w:rsid w:val="00832C2C"/>
    <w:rsid w:val="00834369"/>
    <w:rsid w:val="008379BC"/>
    <w:rsid w:val="00837A9C"/>
    <w:rsid w:val="00837BAF"/>
    <w:rsid w:val="00842D55"/>
    <w:rsid w:val="00843E85"/>
    <w:rsid w:val="0084448E"/>
    <w:rsid w:val="008444B1"/>
    <w:rsid w:val="00844A98"/>
    <w:rsid w:val="0084510D"/>
    <w:rsid w:val="00847C3D"/>
    <w:rsid w:val="0085006C"/>
    <w:rsid w:val="008504A1"/>
    <w:rsid w:val="008505C8"/>
    <w:rsid w:val="008515F0"/>
    <w:rsid w:val="00852A5E"/>
    <w:rsid w:val="00852BBE"/>
    <w:rsid w:val="00853E28"/>
    <w:rsid w:val="008548EB"/>
    <w:rsid w:val="00855B58"/>
    <w:rsid w:val="008568B3"/>
    <w:rsid w:val="00857889"/>
    <w:rsid w:val="00860253"/>
    <w:rsid w:val="008607E7"/>
    <w:rsid w:val="008610A4"/>
    <w:rsid w:val="00862451"/>
    <w:rsid w:val="0086289F"/>
    <w:rsid w:val="00863606"/>
    <w:rsid w:val="0086383A"/>
    <w:rsid w:val="00863A6D"/>
    <w:rsid w:val="00863FD6"/>
    <w:rsid w:val="00864062"/>
    <w:rsid w:val="00864A22"/>
    <w:rsid w:val="00865A59"/>
    <w:rsid w:val="00865FB4"/>
    <w:rsid w:val="008664F4"/>
    <w:rsid w:val="0086676A"/>
    <w:rsid w:val="00866E09"/>
    <w:rsid w:val="008675B2"/>
    <w:rsid w:val="008675BB"/>
    <w:rsid w:val="00867F37"/>
    <w:rsid w:val="00870027"/>
    <w:rsid w:val="0087035B"/>
    <w:rsid w:val="008718F6"/>
    <w:rsid w:val="008733F9"/>
    <w:rsid w:val="008769B1"/>
    <w:rsid w:val="00877FC7"/>
    <w:rsid w:val="0088023A"/>
    <w:rsid w:val="00880673"/>
    <w:rsid w:val="00882452"/>
    <w:rsid w:val="00882F44"/>
    <w:rsid w:val="00883D4E"/>
    <w:rsid w:val="008842C8"/>
    <w:rsid w:val="00884331"/>
    <w:rsid w:val="008847B6"/>
    <w:rsid w:val="00884BBA"/>
    <w:rsid w:val="0088515B"/>
    <w:rsid w:val="00885A28"/>
    <w:rsid w:val="00886DA4"/>
    <w:rsid w:val="0088775D"/>
    <w:rsid w:val="0089051D"/>
    <w:rsid w:val="00892C8E"/>
    <w:rsid w:val="00895C63"/>
    <w:rsid w:val="00895CBD"/>
    <w:rsid w:val="0089638F"/>
    <w:rsid w:val="008A099D"/>
    <w:rsid w:val="008A1BC9"/>
    <w:rsid w:val="008A21AC"/>
    <w:rsid w:val="008A2DF8"/>
    <w:rsid w:val="008A2FFE"/>
    <w:rsid w:val="008A3CA9"/>
    <w:rsid w:val="008A4D1C"/>
    <w:rsid w:val="008A5613"/>
    <w:rsid w:val="008A594E"/>
    <w:rsid w:val="008A5FBA"/>
    <w:rsid w:val="008A7813"/>
    <w:rsid w:val="008A7E89"/>
    <w:rsid w:val="008B0454"/>
    <w:rsid w:val="008B1330"/>
    <w:rsid w:val="008B258F"/>
    <w:rsid w:val="008B2874"/>
    <w:rsid w:val="008B2AE0"/>
    <w:rsid w:val="008B2E92"/>
    <w:rsid w:val="008B3A83"/>
    <w:rsid w:val="008B415E"/>
    <w:rsid w:val="008B5B67"/>
    <w:rsid w:val="008B6242"/>
    <w:rsid w:val="008B674E"/>
    <w:rsid w:val="008B7EDD"/>
    <w:rsid w:val="008C0410"/>
    <w:rsid w:val="008C1BAF"/>
    <w:rsid w:val="008C1DFB"/>
    <w:rsid w:val="008C1EC1"/>
    <w:rsid w:val="008C21C4"/>
    <w:rsid w:val="008C2362"/>
    <w:rsid w:val="008C32E1"/>
    <w:rsid w:val="008C364F"/>
    <w:rsid w:val="008C48D6"/>
    <w:rsid w:val="008C55CA"/>
    <w:rsid w:val="008C5A89"/>
    <w:rsid w:val="008C5FEA"/>
    <w:rsid w:val="008C6616"/>
    <w:rsid w:val="008C6805"/>
    <w:rsid w:val="008D0A27"/>
    <w:rsid w:val="008D10AA"/>
    <w:rsid w:val="008D227B"/>
    <w:rsid w:val="008D2CA0"/>
    <w:rsid w:val="008D3D3C"/>
    <w:rsid w:val="008D3DDD"/>
    <w:rsid w:val="008D3F3D"/>
    <w:rsid w:val="008D4CBB"/>
    <w:rsid w:val="008D4D62"/>
    <w:rsid w:val="008D5448"/>
    <w:rsid w:val="008D54D1"/>
    <w:rsid w:val="008D5818"/>
    <w:rsid w:val="008D66B9"/>
    <w:rsid w:val="008D693F"/>
    <w:rsid w:val="008E1422"/>
    <w:rsid w:val="008E21FA"/>
    <w:rsid w:val="008E652E"/>
    <w:rsid w:val="008E6A05"/>
    <w:rsid w:val="008E7647"/>
    <w:rsid w:val="008F0E94"/>
    <w:rsid w:val="008F13C6"/>
    <w:rsid w:val="008F1615"/>
    <w:rsid w:val="008F3BB0"/>
    <w:rsid w:val="008F3D82"/>
    <w:rsid w:val="008F400C"/>
    <w:rsid w:val="008F43B4"/>
    <w:rsid w:val="008F4724"/>
    <w:rsid w:val="008F644D"/>
    <w:rsid w:val="008F6689"/>
    <w:rsid w:val="008F6BB9"/>
    <w:rsid w:val="008F79AD"/>
    <w:rsid w:val="00901D31"/>
    <w:rsid w:val="00902B12"/>
    <w:rsid w:val="009038C3"/>
    <w:rsid w:val="00903A46"/>
    <w:rsid w:val="00903E4A"/>
    <w:rsid w:val="00904011"/>
    <w:rsid w:val="00906EE2"/>
    <w:rsid w:val="00906FD8"/>
    <w:rsid w:val="00911FF4"/>
    <w:rsid w:val="00912091"/>
    <w:rsid w:val="0091211D"/>
    <w:rsid w:val="00912E99"/>
    <w:rsid w:val="009151C3"/>
    <w:rsid w:val="00916085"/>
    <w:rsid w:val="0091623B"/>
    <w:rsid w:val="009163BC"/>
    <w:rsid w:val="00916D2B"/>
    <w:rsid w:val="00921024"/>
    <w:rsid w:val="0092174F"/>
    <w:rsid w:val="0092324E"/>
    <w:rsid w:val="00923357"/>
    <w:rsid w:val="0092415E"/>
    <w:rsid w:val="00925F6A"/>
    <w:rsid w:val="00926C99"/>
    <w:rsid w:val="00926F56"/>
    <w:rsid w:val="0092708C"/>
    <w:rsid w:val="0092724C"/>
    <w:rsid w:val="009276D0"/>
    <w:rsid w:val="00930551"/>
    <w:rsid w:val="00930F75"/>
    <w:rsid w:val="00930FFC"/>
    <w:rsid w:val="00931DA8"/>
    <w:rsid w:val="009325B9"/>
    <w:rsid w:val="009328EC"/>
    <w:rsid w:val="00932FB4"/>
    <w:rsid w:val="009331C6"/>
    <w:rsid w:val="00934092"/>
    <w:rsid w:val="009341FB"/>
    <w:rsid w:val="009350E2"/>
    <w:rsid w:val="00935C00"/>
    <w:rsid w:val="00937BAD"/>
    <w:rsid w:val="00937E73"/>
    <w:rsid w:val="0094033F"/>
    <w:rsid w:val="00940ADC"/>
    <w:rsid w:val="0094106A"/>
    <w:rsid w:val="00941B77"/>
    <w:rsid w:val="00942943"/>
    <w:rsid w:val="0094358F"/>
    <w:rsid w:val="00943A2E"/>
    <w:rsid w:val="00943F7C"/>
    <w:rsid w:val="00944190"/>
    <w:rsid w:val="00944683"/>
    <w:rsid w:val="00947B63"/>
    <w:rsid w:val="009500CC"/>
    <w:rsid w:val="0095040D"/>
    <w:rsid w:val="009506F1"/>
    <w:rsid w:val="009509FE"/>
    <w:rsid w:val="00952F4C"/>
    <w:rsid w:val="00953394"/>
    <w:rsid w:val="00953B87"/>
    <w:rsid w:val="00954A2A"/>
    <w:rsid w:val="009567F7"/>
    <w:rsid w:val="00956EE7"/>
    <w:rsid w:val="0095759E"/>
    <w:rsid w:val="00957EAC"/>
    <w:rsid w:val="009612C2"/>
    <w:rsid w:val="009617B8"/>
    <w:rsid w:val="00962408"/>
    <w:rsid w:val="00965534"/>
    <w:rsid w:val="009658BF"/>
    <w:rsid w:val="00965946"/>
    <w:rsid w:val="00965EF6"/>
    <w:rsid w:val="00966376"/>
    <w:rsid w:val="009664DB"/>
    <w:rsid w:val="00966CEE"/>
    <w:rsid w:val="0096700D"/>
    <w:rsid w:val="0096705D"/>
    <w:rsid w:val="009677C2"/>
    <w:rsid w:val="00970762"/>
    <w:rsid w:val="009708E8"/>
    <w:rsid w:val="00971264"/>
    <w:rsid w:val="00973AC4"/>
    <w:rsid w:val="0097429D"/>
    <w:rsid w:val="00975A6D"/>
    <w:rsid w:val="00976479"/>
    <w:rsid w:val="009766D3"/>
    <w:rsid w:val="00976D80"/>
    <w:rsid w:val="00977C39"/>
    <w:rsid w:val="00981079"/>
    <w:rsid w:val="0098135B"/>
    <w:rsid w:val="0098193D"/>
    <w:rsid w:val="00981BAF"/>
    <w:rsid w:val="00982696"/>
    <w:rsid w:val="00983638"/>
    <w:rsid w:val="009847F3"/>
    <w:rsid w:val="00984A15"/>
    <w:rsid w:val="00984C6F"/>
    <w:rsid w:val="00985704"/>
    <w:rsid w:val="0098702E"/>
    <w:rsid w:val="00987FDD"/>
    <w:rsid w:val="00990C32"/>
    <w:rsid w:val="0099176D"/>
    <w:rsid w:val="00992A9B"/>
    <w:rsid w:val="009930FF"/>
    <w:rsid w:val="009939EC"/>
    <w:rsid w:val="00993C99"/>
    <w:rsid w:val="00994529"/>
    <w:rsid w:val="0099552B"/>
    <w:rsid w:val="00995575"/>
    <w:rsid w:val="00996139"/>
    <w:rsid w:val="0099634C"/>
    <w:rsid w:val="009A0517"/>
    <w:rsid w:val="009A0716"/>
    <w:rsid w:val="009A0980"/>
    <w:rsid w:val="009A0AC9"/>
    <w:rsid w:val="009A1907"/>
    <w:rsid w:val="009A2855"/>
    <w:rsid w:val="009A309D"/>
    <w:rsid w:val="009A35C7"/>
    <w:rsid w:val="009A3883"/>
    <w:rsid w:val="009A7CAC"/>
    <w:rsid w:val="009B2C12"/>
    <w:rsid w:val="009B55AA"/>
    <w:rsid w:val="009B5E62"/>
    <w:rsid w:val="009B637C"/>
    <w:rsid w:val="009C0580"/>
    <w:rsid w:val="009C2E91"/>
    <w:rsid w:val="009C2F2A"/>
    <w:rsid w:val="009C3512"/>
    <w:rsid w:val="009C3BCC"/>
    <w:rsid w:val="009C3E18"/>
    <w:rsid w:val="009C5534"/>
    <w:rsid w:val="009C6E18"/>
    <w:rsid w:val="009C7AC3"/>
    <w:rsid w:val="009C7B29"/>
    <w:rsid w:val="009D129E"/>
    <w:rsid w:val="009D173B"/>
    <w:rsid w:val="009D1A57"/>
    <w:rsid w:val="009D249E"/>
    <w:rsid w:val="009D34AC"/>
    <w:rsid w:val="009D45A6"/>
    <w:rsid w:val="009D54C2"/>
    <w:rsid w:val="009D73A4"/>
    <w:rsid w:val="009D7605"/>
    <w:rsid w:val="009E1961"/>
    <w:rsid w:val="009E2917"/>
    <w:rsid w:val="009E300E"/>
    <w:rsid w:val="009E3238"/>
    <w:rsid w:val="009E6980"/>
    <w:rsid w:val="009E780C"/>
    <w:rsid w:val="009F018D"/>
    <w:rsid w:val="009F13E4"/>
    <w:rsid w:val="009F14AA"/>
    <w:rsid w:val="009F3911"/>
    <w:rsid w:val="009F39CD"/>
    <w:rsid w:val="009F5A72"/>
    <w:rsid w:val="009F5A80"/>
    <w:rsid w:val="009F7AAF"/>
    <w:rsid w:val="009F7DFD"/>
    <w:rsid w:val="00A00140"/>
    <w:rsid w:val="00A0080D"/>
    <w:rsid w:val="00A0136D"/>
    <w:rsid w:val="00A01ADE"/>
    <w:rsid w:val="00A01C06"/>
    <w:rsid w:val="00A05592"/>
    <w:rsid w:val="00A07120"/>
    <w:rsid w:val="00A0776B"/>
    <w:rsid w:val="00A077D1"/>
    <w:rsid w:val="00A100B3"/>
    <w:rsid w:val="00A1040A"/>
    <w:rsid w:val="00A10543"/>
    <w:rsid w:val="00A116A2"/>
    <w:rsid w:val="00A11828"/>
    <w:rsid w:val="00A129E0"/>
    <w:rsid w:val="00A12E7B"/>
    <w:rsid w:val="00A13014"/>
    <w:rsid w:val="00A134A9"/>
    <w:rsid w:val="00A13BB9"/>
    <w:rsid w:val="00A142F0"/>
    <w:rsid w:val="00A14B05"/>
    <w:rsid w:val="00A14BF2"/>
    <w:rsid w:val="00A1656D"/>
    <w:rsid w:val="00A17866"/>
    <w:rsid w:val="00A17B67"/>
    <w:rsid w:val="00A20ED7"/>
    <w:rsid w:val="00A226DF"/>
    <w:rsid w:val="00A22C9B"/>
    <w:rsid w:val="00A23DB9"/>
    <w:rsid w:val="00A248DA"/>
    <w:rsid w:val="00A313AB"/>
    <w:rsid w:val="00A318C4"/>
    <w:rsid w:val="00A31E56"/>
    <w:rsid w:val="00A32539"/>
    <w:rsid w:val="00A34092"/>
    <w:rsid w:val="00A351F2"/>
    <w:rsid w:val="00A3635E"/>
    <w:rsid w:val="00A40A0A"/>
    <w:rsid w:val="00A421BF"/>
    <w:rsid w:val="00A422A1"/>
    <w:rsid w:val="00A43B3D"/>
    <w:rsid w:val="00A44612"/>
    <w:rsid w:val="00A4703D"/>
    <w:rsid w:val="00A475A5"/>
    <w:rsid w:val="00A5213B"/>
    <w:rsid w:val="00A52848"/>
    <w:rsid w:val="00A52BBB"/>
    <w:rsid w:val="00A53182"/>
    <w:rsid w:val="00A53637"/>
    <w:rsid w:val="00A54A02"/>
    <w:rsid w:val="00A5602E"/>
    <w:rsid w:val="00A5630B"/>
    <w:rsid w:val="00A57B79"/>
    <w:rsid w:val="00A57C94"/>
    <w:rsid w:val="00A6218A"/>
    <w:rsid w:val="00A63454"/>
    <w:rsid w:val="00A640C4"/>
    <w:rsid w:val="00A654DF"/>
    <w:rsid w:val="00A66086"/>
    <w:rsid w:val="00A6643E"/>
    <w:rsid w:val="00A66822"/>
    <w:rsid w:val="00A673C2"/>
    <w:rsid w:val="00A70F04"/>
    <w:rsid w:val="00A7327D"/>
    <w:rsid w:val="00A7383D"/>
    <w:rsid w:val="00A7407B"/>
    <w:rsid w:val="00A743C8"/>
    <w:rsid w:val="00A751E1"/>
    <w:rsid w:val="00A82719"/>
    <w:rsid w:val="00A827DC"/>
    <w:rsid w:val="00A8364D"/>
    <w:rsid w:val="00A83754"/>
    <w:rsid w:val="00A83E81"/>
    <w:rsid w:val="00A84586"/>
    <w:rsid w:val="00A8795C"/>
    <w:rsid w:val="00A902C2"/>
    <w:rsid w:val="00A903B1"/>
    <w:rsid w:val="00A90A7E"/>
    <w:rsid w:val="00A90E05"/>
    <w:rsid w:val="00A92143"/>
    <w:rsid w:val="00A926B1"/>
    <w:rsid w:val="00A94115"/>
    <w:rsid w:val="00A94171"/>
    <w:rsid w:val="00A949DB"/>
    <w:rsid w:val="00A96CC0"/>
    <w:rsid w:val="00A97D1F"/>
    <w:rsid w:val="00AA042A"/>
    <w:rsid w:val="00AA33D0"/>
    <w:rsid w:val="00AA5016"/>
    <w:rsid w:val="00AA55A5"/>
    <w:rsid w:val="00AA69C3"/>
    <w:rsid w:val="00AA727E"/>
    <w:rsid w:val="00AB0FFB"/>
    <w:rsid w:val="00AB189A"/>
    <w:rsid w:val="00AB4F12"/>
    <w:rsid w:val="00AB6608"/>
    <w:rsid w:val="00AB7A88"/>
    <w:rsid w:val="00AC0619"/>
    <w:rsid w:val="00AC0A2E"/>
    <w:rsid w:val="00AC22C6"/>
    <w:rsid w:val="00AC26CC"/>
    <w:rsid w:val="00AC285C"/>
    <w:rsid w:val="00AC2C50"/>
    <w:rsid w:val="00AC3367"/>
    <w:rsid w:val="00AC3BAB"/>
    <w:rsid w:val="00AC40E0"/>
    <w:rsid w:val="00AC575C"/>
    <w:rsid w:val="00AC728B"/>
    <w:rsid w:val="00AC7339"/>
    <w:rsid w:val="00AC7DD2"/>
    <w:rsid w:val="00AD1181"/>
    <w:rsid w:val="00AD5CF9"/>
    <w:rsid w:val="00AD641C"/>
    <w:rsid w:val="00AD771B"/>
    <w:rsid w:val="00AE068B"/>
    <w:rsid w:val="00AE2C67"/>
    <w:rsid w:val="00AE419E"/>
    <w:rsid w:val="00AE4C94"/>
    <w:rsid w:val="00AE4E8F"/>
    <w:rsid w:val="00AE576D"/>
    <w:rsid w:val="00AE5919"/>
    <w:rsid w:val="00AF107B"/>
    <w:rsid w:val="00AF2F57"/>
    <w:rsid w:val="00AF66DB"/>
    <w:rsid w:val="00B00FFC"/>
    <w:rsid w:val="00B035EC"/>
    <w:rsid w:val="00B03713"/>
    <w:rsid w:val="00B03C01"/>
    <w:rsid w:val="00B03C8C"/>
    <w:rsid w:val="00B0536C"/>
    <w:rsid w:val="00B0564D"/>
    <w:rsid w:val="00B06893"/>
    <w:rsid w:val="00B07162"/>
    <w:rsid w:val="00B07508"/>
    <w:rsid w:val="00B07D88"/>
    <w:rsid w:val="00B10493"/>
    <w:rsid w:val="00B10568"/>
    <w:rsid w:val="00B10592"/>
    <w:rsid w:val="00B12B16"/>
    <w:rsid w:val="00B1327B"/>
    <w:rsid w:val="00B13AB5"/>
    <w:rsid w:val="00B14461"/>
    <w:rsid w:val="00B148F5"/>
    <w:rsid w:val="00B15B6F"/>
    <w:rsid w:val="00B16AC3"/>
    <w:rsid w:val="00B172A7"/>
    <w:rsid w:val="00B17859"/>
    <w:rsid w:val="00B20C9E"/>
    <w:rsid w:val="00B218D4"/>
    <w:rsid w:val="00B22F9F"/>
    <w:rsid w:val="00B23337"/>
    <w:rsid w:val="00B242B4"/>
    <w:rsid w:val="00B24806"/>
    <w:rsid w:val="00B26598"/>
    <w:rsid w:val="00B26DF6"/>
    <w:rsid w:val="00B27D66"/>
    <w:rsid w:val="00B31C58"/>
    <w:rsid w:val="00B31C90"/>
    <w:rsid w:val="00B3284A"/>
    <w:rsid w:val="00B3345A"/>
    <w:rsid w:val="00B35205"/>
    <w:rsid w:val="00B36C48"/>
    <w:rsid w:val="00B40840"/>
    <w:rsid w:val="00B40C6E"/>
    <w:rsid w:val="00B40D61"/>
    <w:rsid w:val="00B41328"/>
    <w:rsid w:val="00B4356A"/>
    <w:rsid w:val="00B44C51"/>
    <w:rsid w:val="00B513A5"/>
    <w:rsid w:val="00B516E5"/>
    <w:rsid w:val="00B5197B"/>
    <w:rsid w:val="00B51DC5"/>
    <w:rsid w:val="00B52629"/>
    <w:rsid w:val="00B52BF5"/>
    <w:rsid w:val="00B52CE5"/>
    <w:rsid w:val="00B548A1"/>
    <w:rsid w:val="00B54B36"/>
    <w:rsid w:val="00B56B96"/>
    <w:rsid w:val="00B631B6"/>
    <w:rsid w:val="00B64462"/>
    <w:rsid w:val="00B648D3"/>
    <w:rsid w:val="00B66262"/>
    <w:rsid w:val="00B673B0"/>
    <w:rsid w:val="00B70349"/>
    <w:rsid w:val="00B704A2"/>
    <w:rsid w:val="00B7068E"/>
    <w:rsid w:val="00B71825"/>
    <w:rsid w:val="00B71C4B"/>
    <w:rsid w:val="00B71E29"/>
    <w:rsid w:val="00B77F3A"/>
    <w:rsid w:val="00B80C4F"/>
    <w:rsid w:val="00B8123D"/>
    <w:rsid w:val="00B818DA"/>
    <w:rsid w:val="00B83DA6"/>
    <w:rsid w:val="00B85329"/>
    <w:rsid w:val="00B853CC"/>
    <w:rsid w:val="00B85EC3"/>
    <w:rsid w:val="00B86465"/>
    <w:rsid w:val="00B86468"/>
    <w:rsid w:val="00B86817"/>
    <w:rsid w:val="00B87A87"/>
    <w:rsid w:val="00B90B25"/>
    <w:rsid w:val="00B91082"/>
    <w:rsid w:val="00B920C8"/>
    <w:rsid w:val="00B92712"/>
    <w:rsid w:val="00B92B68"/>
    <w:rsid w:val="00B9317C"/>
    <w:rsid w:val="00B946BB"/>
    <w:rsid w:val="00B94DF7"/>
    <w:rsid w:val="00B96AE6"/>
    <w:rsid w:val="00B970E1"/>
    <w:rsid w:val="00B97191"/>
    <w:rsid w:val="00B97740"/>
    <w:rsid w:val="00BA5E6E"/>
    <w:rsid w:val="00BB3031"/>
    <w:rsid w:val="00BB3189"/>
    <w:rsid w:val="00BB4096"/>
    <w:rsid w:val="00BB6124"/>
    <w:rsid w:val="00BB6288"/>
    <w:rsid w:val="00BB65AB"/>
    <w:rsid w:val="00BC005B"/>
    <w:rsid w:val="00BC0741"/>
    <w:rsid w:val="00BC0F57"/>
    <w:rsid w:val="00BC1A6E"/>
    <w:rsid w:val="00BC298D"/>
    <w:rsid w:val="00BC374D"/>
    <w:rsid w:val="00BC4413"/>
    <w:rsid w:val="00BC4991"/>
    <w:rsid w:val="00BC4FB1"/>
    <w:rsid w:val="00BC5D2A"/>
    <w:rsid w:val="00BC70B1"/>
    <w:rsid w:val="00BC7353"/>
    <w:rsid w:val="00BD006D"/>
    <w:rsid w:val="00BD0CE0"/>
    <w:rsid w:val="00BD0DC6"/>
    <w:rsid w:val="00BD0E54"/>
    <w:rsid w:val="00BD16D9"/>
    <w:rsid w:val="00BD18E9"/>
    <w:rsid w:val="00BD4354"/>
    <w:rsid w:val="00BD62D2"/>
    <w:rsid w:val="00BD65B1"/>
    <w:rsid w:val="00BD7C77"/>
    <w:rsid w:val="00BE07DE"/>
    <w:rsid w:val="00BE131F"/>
    <w:rsid w:val="00BE2627"/>
    <w:rsid w:val="00BE2812"/>
    <w:rsid w:val="00BE31CE"/>
    <w:rsid w:val="00BE4CA9"/>
    <w:rsid w:val="00BE728C"/>
    <w:rsid w:val="00BE7FB6"/>
    <w:rsid w:val="00BF0276"/>
    <w:rsid w:val="00BF0383"/>
    <w:rsid w:val="00BF066F"/>
    <w:rsid w:val="00BF1A9A"/>
    <w:rsid w:val="00BF258B"/>
    <w:rsid w:val="00BF29FA"/>
    <w:rsid w:val="00C00E79"/>
    <w:rsid w:val="00C0278A"/>
    <w:rsid w:val="00C0371C"/>
    <w:rsid w:val="00C047E2"/>
    <w:rsid w:val="00C051A9"/>
    <w:rsid w:val="00C06A95"/>
    <w:rsid w:val="00C06BE8"/>
    <w:rsid w:val="00C07356"/>
    <w:rsid w:val="00C100A3"/>
    <w:rsid w:val="00C1112B"/>
    <w:rsid w:val="00C11891"/>
    <w:rsid w:val="00C11957"/>
    <w:rsid w:val="00C1412B"/>
    <w:rsid w:val="00C16692"/>
    <w:rsid w:val="00C16856"/>
    <w:rsid w:val="00C20DB3"/>
    <w:rsid w:val="00C220F1"/>
    <w:rsid w:val="00C2261A"/>
    <w:rsid w:val="00C22A32"/>
    <w:rsid w:val="00C23D94"/>
    <w:rsid w:val="00C24DA9"/>
    <w:rsid w:val="00C25004"/>
    <w:rsid w:val="00C25269"/>
    <w:rsid w:val="00C25EB9"/>
    <w:rsid w:val="00C272FB"/>
    <w:rsid w:val="00C32E17"/>
    <w:rsid w:val="00C3427E"/>
    <w:rsid w:val="00C346CB"/>
    <w:rsid w:val="00C34DBA"/>
    <w:rsid w:val="00C3548A"/>
    <w:rsid w:val="00C35821"/>
    <w:rsid w:val="00C35B71"/>
    <w:rsid w:val="00C37B1B"/>
    <w:rsid w:val="00C42CCE"/>
    <w:rsid w:val="00C42FBF"/>
    <w:rsid w:val="00C443F6"/>
    <w:rsid w:val="00C4494A"/>
    <w:rsid w:val="00C44AD0"/>
    <w:rsid w:val="00C44AEA"/>
    <w:rsid w:val="00C44F2B"/>
    <w:rsid w:val="00C451C0"/>
    <w:rsid w:val="00C45413"/>
    <w:rsid w:val="00C46442"/>
    <w:rsid w:val="00C4764A"/>
    <w:rsid w:val="00C50220"/>
    <w:rsid w:val="00C51BE0"/>
    <w:rsid w:val="00C52AD8"/>
    <w:rsid w:val="00C539D8"/>
    <w:rsid w:val="00C53FAD"/>
    <w:rsid w:val="00C54E9E"/>
    <w:rsid w:val="00C56231"/>
    <w:rsid w:val="00C5667A"/>
    <w:rsid w:val="00C5684A"/>
    <w:rsid w:val="00C618CD"/>
    <w:rsid w:val="00C61A59"/>
    <w:rsid w:val="00C630A2"/>
    <w:rsid w:val="00C6339D"/>
    <w:rsid w:val="00C64F6B"/>
    <w:rsid w:val="00C65210"/>
    <w:rsid w:val="00C6559E"/>
    <w:rsid w:val="00C67996"/>
    <w:rsid w:val="00C701AE"/>
    <w:rsid w:val="00C70C9D"/>
    <w:rsid w:val="00C71228"/>
    <w:rsid w:val="00C71381"/>
    <w:rsid w:val="00C72735"/>
    <w:rsid w:val="00C72FD6"/>
    <w:rsid w:val="00C733A0"/>
    <w:rsid w:val="00C75A27"/>
    <w:rsid w:val="00C77480"/>
    <w:rsid w:val="00C80E49"/>
    <w:rsid w:val="00C8168F"/>
    <w:rsid w:val="00C81F55"/>
    <w:rsid w:val="00C826F3"/>
    <w:rsid w:val="00C86978"/>
    <w:rsid w:val="00C87C27"/>
    <w:rsid w:val="00C902D4"/>
    <w:rsid w:val="00C90A31"/>
    <w:rsid w:val="00C90CF1"/>
    <w:rsid w:val="00C92192"/>
    <w:rsid w:val="00C922FA"/>
    <w:rsid w:val="00C93018"/>
    <w:rsid w:val="00C930F3"/>
    <w:rsid w:val="00C93B26"/>
    <w:rsid w:val="00C93D10"/>
    <w:rsid w:val="00C94735"/>
    <w:rsid w:val="00C95938"/>
    <w:rsid w:val="00C96F12"/>
    <w:rsid w:val="00C97075"/>
    <w:rsid w:val="00C97F0F"/>
    <w:rsid w:val="00CA00F6"/>
    <w:rsid w:val="00CA0379"/>
    <w:rsid w:val="00CA0AAD"/>
    <w:rsid w:val="00CA1D2D"/>
    <w:rsid w:val="00CA21F8"/>
    <w:rsid w:val="00CA3332"/>
    <w:rsid w:val="00CA4CDE"/>
    <w:rsid w:val="00CA64FD"/>
    <w:rsid w:val="00CA66DE"/>
    <w:rsid w:val="00CA6865"/>
    <w:rsid w:val="00CA7BB3"/>
    <w:rsid w:val="00CA7FBF"/>
    <w:rsid w:val="00CB0074"/>
    <w:rsid w:val="00CB05B1"/>
    <w:rsid w:val="00CB1356"/>
    <w:rsid w:val="00CB16B9"/>
    <w:rsid w:val="00CB2B24"/>
    <w:rsid w:val="00CB37BE"/>
    <w:rsid w:val="00CB3F7E"/>
    <w:rsid w:val="00CB4BF5"/>
    <w:rsid w:val="00CB4DAA"/>
    <w:rsid w:val="00CB61AD"/>
    <w:rsid w:val="00CC2110"/>
    <w:rsid w:val="00CC3828"/>
    <w:rsid w:val="00CC5B2B"/>
    <w:rsid w:val="00CC5C73"/>
    <w:rsid w:val="00CC69D9"/>
    <w:rsid w:val="00CC6C52"/>
    <w:rsid w:val="00CC7FA3"/>
    <w:rsid w:val="00CD02BA"/>
    <w:rsid w:val="00CD289D"/>
    <w:rsid w:val="00CD3597"/>
    <w:rsid w:val="00CD38E5"/>
    <w:rsid w:val="00CD39C8"/>
    <w:rsid w:val="00CD44BD"/>
    <w:rsid w:val="00CD547F"/>
    <w:rsid w:val="00CD5563"/>
    <w:rsid w:val="00CD620E"/>
    <w:rsid w:val="00CD6239"/>
    <w:rsid w:val="00CD6C63"/>
    <w:rsid w:val="00CD7858"/>
    <w:rsid w:val="00CE0839"/>
    <w:rsid w:val="00CE0D78"/>
    <w:rsid w:val="00CE1951"/>
    <w:rsid w:val="00CE1FF7"/>
    <w:rsid w:val="00CE38E5"/>
    <w:rsid w:val="00CE3B19"/>
    <w:rsid w:val="00CE5219"/>
    <w:rsid w:val="00CE61D9"/>
    <w:rsid w:val="00CE72D0"/>
    <w:rsid w:val="00CE7F61"/>
    <w:rsid w:val="00CF072A"/>
    <w:rsid w:val="00CF28CB"/>
    <w:rsid w:val="00CF2EB7"/>
    <w:rsid w:val="00CF31D4"/>
    <w:rsid w:val="00CF41DD"/>
    <w:rsid w:val="00CF455C"/>
    <w:rsid w:val="00CF4C28"/>
    <w:rsid w:val="00CF5581"/>
    <w:rsid w:val="00CF5F20"/>
    <w:rsid w:val="00CF6FCA"/>
    <w:rsid w:val="00CF70B0"/>
    <w:rsid w:val="00CF7D83"/>
    <w:rsid w:val="00D00C1B"/>
    <w:rsid w:val="00D01348"/>
    <w:rsid w:val="00D01A33"/>
    <w:rsid w:val="00D023C8"/>
    <w:rsid w:val="00D0324B"/>
    <w:rsid w:val="00D03815"/>
    <w:rsid w:val="00D03DF4"/>
    <w:rsid w:val="00D05445"/>
    <w:rsid w:val="00D05897"/>
    <w:rsid w:val="00D06F6B"/>
    <w:rsid w:val="00D06F75"/>
    <w:rsid w:val="00D0731D"/>
    <w:rsid w:val="00D104A0"/>
    <w:rsid w:val="00D10759"/>
    <w:rsid w:val="00D10F0A"/>
    <w:rsid w:val="00D11663"/>
    <w:rsid w:val="00D11CE5"/>
    <w:rsid w:val="00D1743B"/>
    <w:rsid w:val="00D17DF1"/>
    <w:rsid w:val="00D208E7"/>
    <w:rsid w:val="00D22796"/>
    <w:rsid w:val="00D22C16"/>
    <w:rsid w:val="00D2370B"/>
    <w:rsid w:val="00D2623C"/>
    <w:rsid w:val="00D2798A"/>
    <w:rsid w:val="00D308DA"/>
    <w:rsid w:val="00D30CA3"/>
    <w:rsid w:val="00D31BE3"/>
    <w:rsid w:val="00D32184"/>
    <w:rsid w:val="00D329AD"/>
    <w:rsid w:val="00D34137"/>
    <w:rsid w:val="00D3454B"/>
    <w:rsid w:val="00D34B2A"/>
    <w:rsid w:val="00D355B5"/>
    <w:rsid w:val="00D356D4"/>
    <w:rsid w:val="00D37609"/>
    <w:rsid w:val="00D4050D"/>
    <w:rsid w:val="00D408D7"/>
    <w:rsid w:val="00D43640"/>
    <w:rsid w:val="00D4449F"/>
    <w:rsid w:val="00D46EF1"/>
    <w:rsid w:val="00D46FA1"/>
    <w:rsid w:val="00D47ACC"/>
    <w:rsid w:val="00D50C3E"/>
    <w:rsid w:val="00D53154"/>
    <w:rsid w:val="00D53DB8"/>
    <w:rsid w:val="00D546A8"/>
    <w:rsid w:val="00D56E59"/>
    <w:rsid w:val="00D57E22"/>
    <w:rsid w:val="00D60F88"/>
    <w:rsid w:val="00D61F71"/>
    <w:rsid w:val="00D62C75"/>
    <w:rsid w:val="00D6458F"/>
    <w:rsid w:val="00D64AE3"/>
    <w:rsid w:val="00D6526B"/>
    <w:rsid w:val="00D654DA"/>
    <w:rsid w:val="00D65F92"/>
    <w:rsid w:val="00D66DAE"/>
    <w:rsid w:val="00D67148"/>
    <w:rsid w:val="00D70815"/>
    <w:rsid w:val="00D70928"/>
    <w:rsid w:val="00D711FE"/>
    <w:rsid w:val="00D71852"/>
    <w:rsid w:val="00D7275D"/>
    <w:rsid w:val="00D73BDA"/>
    <w:rsid w:val="00D74ECC"/>
    <w:rsid w:val="00D761FB"/>
    <w:rsid w:val="00D76DC3"/>
    <w:rsid w:val="00D777D7"/>
    <w:rsid w:val="00D866CF"/>
    <w:rsid w:val="00D870A9"/>
    <w:rsid w:val="00D877B6"/>
    <w:rsid w:val="00D8790E"/>
    <w:rsid w:val="00D87BDC"/>
    <w:rsid w:val="00D87CEF"/>
    <w:rsid w:val="00D9415E"/>
    <w:rsid w:val="00D94BB3"/>
    <w:rsid w:val="00D95B7E"/>
    <w:rsid w:val="00D97922"/>
    <w:rsid w:val="00D9797A"/>
    <w:rsid w:val="00DA1071"/>
    <w:rsid w:val="00DA11E0"/>
    <w:rsid w:val="00DA12F4"/>
    <w:rsid w:val="00DA56D1"/>
    <w:rsid w:val="00DA6048"/>
    <w:rsid w:val="00DA7374"/>
    <w:rsid w:val="00DB1BA5"/>
    <w:rsid w:val="00DB25D9"/>
    <w:rsid w:val="00DB3FED"/>
    <w:rsid w:val="00DB435B"/>
    <w:rsid w:val="00DB4CEB"/>
    <w:rsid w:val="00DB4D33"/>
    <w:rsid w:val="00DB4FD8"/>
    <w:rsid w:val="00DB5B3B"/>
    <w:rsid w:val="00DB616A"/>
    <w:rsid w:val="00DB659F"/>
    <w:rsid w:val="00DB7107"/>
    <w:rsid w:val="00DC11A6"/>
    <w:rsid w:val="00DC1A41"/>
    <w:rsid w:val="00DC2CD5"/>
    <w:rsid w:val="00DC52E2"/>
    <w:rsid w:val="00DC5A2A"/>
    <w:rsid w:val="00DC635F"/>
    <w:rsid w:val="00DC684C"/>
    <w:rsid w:val="00DC6E40"/>
    <w:rsid w:val="00DC7B19"/>
    <w:rsid w:val="00DD0501"/>
    <w:rsid w:val="00DD0530"/>
    <w:rsid w:val="00DD0A0C"/>
    <w:rsid w:val="00DD1108"/>
    <w:rsid w:val="00DD3EFB"/>
    <w:rsid w:val="00DD41E5"/>
    <w:rsid w:val="00DD4365"/>
    <w:rsid w:val="00DD546E"/>
    <w:rsid w:val="00DE04B3"/>
    <w:rsid w:val="00DE050B"/>
    <w:rsid w:val="00DE0DE1"/>
    <w:rsid w:val="00DE163A"/>
    <w:rsid w:val="00DE1868"/>
    <w:rsid w:val="00DE1AB0"/>
    <w:rsid w:val="00DE1AE1"/>
    <w:rsid w:val="00DE1B72"/>
    <w:rsid w:val="00DE2397"/>
    <w:rsid w:val="00DE361A"/>
    <w:rsid w:val="00DE3F22"/>
    <w:rsid w:val="00DE4A20"/>
    <w:rsid w:val="00DE58A6"/>
    <w:rsid w:val="00DF0B99"/>
    <w:rsid w:val="00DF1D91"/>
    <w:rsid w:val="00DF25B5"/>
    <w:rsid w:val="00DF32A5"/>
    <w:rsid w:val="00DF3751"/>
    <w:rsid w:val="00DF456A"/>
    <w:rsid w:val="00DF4D8C"/>
    <w:rsid w:val="00DF50F5"/>
    <w:rsid w:val="00DF53B0"/>
    <w:rsid w:val="00DF55C7"/>
    <w:rsid w:val="00DF6781"/>
    <w:rsid w:val="00DF6D45"/>
    <w:rsid w:val="00E0075D"/>
    <w:rsid w:val="00E01D16"/>
    <w:rsid w:val="00E02E4D"/>
    <w:rsid w:val="00E0362D"/>
    <w:rsid w:val="00E04894"/>
    <w:rsid w:val="00E05E8E"/>
    <w:rsid w:val="00E06061"/>
    <w:rsid w:val="00E06117"/>
    <w:rsid w:val="00E07296"/>
    <w:rsid w:val="00E07D06"/>
    <w:rsid w:val="00E07D7A"/>
    <w:rsid w:val="00E11B2C"/>
    <w:rsid w:val="00E128D0"/>
    <w:rsid w:val="00E13161"/>
    <w:rsid w:val="00E13234"/>
    <w:rsid w:val="00E13CCB"/>
    <w:rsid w:val="00E13E0C"/>
    <w:rsid w:val="00E14857"/>
    <w:rsid w:val="00E179E7"/>
    <w:rsid w:val="00E17EC2"/>
    <w:rsid w:val="00E20295"/>
    <w:rsid w:val="00E20B57"/>
    <w:rsid w:val="00E21745"/>
    <w:rsid w:val="00E21F7B"/>
    <w:rsid w:val="00E25552"/>
    <w:rsid w:val="00E25D92"/>
    <w:rsid w:val="00E25E13"/>
    <w:rsid w:val="00E25E19"/>
    <w:rsid w:val="00E27D43"/>
    <w:rsid w:val="00E313E1"/>
    <w:rsid w:val="00E316F7"/>
    <w:rsid w:val="00E32039"/>
    <w:rsid w:val="00E335B5"/>
    <w:rsid w:val="00E3483F"/>
    <w:rsid w:val="00E360E6"/>
    <w:rsid w:val="00E36256"/>
    <w:rsid w:val="00E40E2E"/>
    <w:rsid w:val="00E41B1E"/>
    <w:rsid w:val="00E431D5"/>
    <w:rsid w:val="00E43246"/>
    <w:rsid w:val="00E4389B"/>
    <w:rsid w:val="00E43A27"/>
    <w:rsid w:val="00E44BE3"/>
    <w:rsid w:val="00E45766"/>
    <w:rsid w:val="00E45C0C"/>
    <w:rsid w:val="00E46809"/>
    <w:rsid w:val="00E476DD"/>
    <w:rsid w:val="00E47C54"/>
    <w:rsid w:val="00E47C65"/>
    <w:rsid w:val="00E47E8F"/>
    <w:rsid w:val="00E51298"/>
    <w:rsid w:val="00E52749"/>
    <w:rsid w:val="00E52AD8"/>
    <w:rsid w:val="00E52CFB"/>
    <w:rsid w:val="00E5396F"/>
    <w:rsid w:val="00E53FD9"/>
    <w:rsid w:val="00E54972"/>
    <w:rsid w:val="00E55696"/>
    <w:rsid w:val="00E5752E"/>
    <w:rsid w:val="00E57D1C"/>
    <w:rsid w:val="00E57E92"/>
    <w:rsid w:val="00E60252"/>
    <w:rsid w:val="00E6124D"/>
    <w:rsid w:val="00E61E98"/>
    <w:rsid w:val="00E622FA"/>
    <w:rsid w:val="00E62B15"/>
    <w:rsid w:val="00E63C81"/>
    <w:rsid w:val="00E67853"/>
    <w:rsid w:val="00E67C49"/>
    <w:rsid w:val="00E67EAB"/>
    <w:rsid w:val="00E70A62"/>
    <w:rsid w:val="00E7107F"/>
    <w:rsid w:val="00E7181F"/>
    <w:rsid w:val="00E71E34"/>
    <w:rsid w:val="00E7219D"/>
    <w:rsid w:val="00E725EA"/>
    <w:rsid w:val="00E732CD"/>
    <w:rsid w:val="00E737C7"/>
    <w:rsid w:val="00E73E6A"/>
    <w:rsid w:val="00E7525E"/>
    <w:rsid w:val="00E75379"/>
    <w:rsid w:val="00E769FA"/>
    <w:rsid w:val="00E77192"/>
    <w:rsid w:val="00E80367"/>
    <w:rsid w:val="00E80704"/>
    <w:rsid w:val="00E8080A"/>
    <w:rsid w:val="00E81544"/>
    <w:rsid w:val="00E83484"/>
    <w:rsid w:val="00E84B09"/>
    <w:rsid w:val="00E85825"/>
    <w:rsid w:val="00E86203"/>
    <w:rsid w:val="00E87492"/>
    <w:rsid w:val="00E876D7"/>
    <w:rsid w:val="00E90EAD"/>
    <w:rsid w:val="00E92480"/>
    <w:rsid w:val="00E92866"/>
    <w:rsid w:val="00E92BCD"/>
    <w:rsid w:val="00E93343"/>
    <w:rsid w:val="00E93997"/>
    <w:rsid w:val="00E93C55"/>
    <w:rsid w:val="00E95D03"/>
    <w:rsid w:val="00E95DCD"/>
    <w:rsid w:val="00E9661C"/>
    <w:rsid w:val="00E975B9"/>
    <w:rsid w:val="00EA013F"/>
    <w:rsid w:val="00EA0863"/>
    <w:rsid w:val="00EA1F68"/>
    <w:rsid w:val="00EA2280"/>
    <w:rsid w:val="00EA2F14"/>
    <w:rsid w:val="00EA31AA"/>
    <w:rsid w:val="00EA3A5D"/>
    <w:rsid w:val="00EA40A1"/>
    <w:rsid w:val="00EA576D"/>
    <w:rsid w:val="00EA688D"/>
    <w:rsid w:val="00EA6D61"/>
    <w:rsid w:val="00EA7228"/>
    <w:rsid w:val="00EA78DF"/>
    <w:rsid w:val="00EB0B50"/>
    <w:rsid w:val="00EB0BFA"/>
    <w:rsid w:val="00EB1343"/>
    <w:rsid w:val="00EB1E98"/>
    <w:rsid w:val="00EB2D13"/>
    <w:rsid w:val="00EB3DE6"/>
    <w:rsid w:val="00EB42C8"/>
    <w:rsid w:val="00EB4349"/>
    <w:rsid w:val="00EB4B05"/>
    <w:rsid w:val="00EB548B"/>
    <w:rsid w:val="00EB597F"/>
    <w:rsid w:val="00EB5C32"/>
    <w:rsid w:val="00EB5E0A"/>
    <w:rsid w:val="00EB60B2"/>
    <w:rsid w:val="00EB6C37"/>
    <w:rsid w:val="00EB6E39"/>
    <w:rsid w:val="00EB7482"/>
    <w:rsid w:val="00EB76FF"/>
    <w:rsid w:val="00EB7E67"/>
    <w:rsid w:val="00EC0CB2"/>
    <w:rsid w:val="00EC12E6"/>
    <w:rsid w:val="00EC1CE8"/>
    <w:rsid w:val="00EC3273"/>
    <w:rsid w:val="00EC57F9"/>
    <w:rsid w:val="00EC5E77"/>
    <w:rsid w:val="00EC6F50"/>
    <w:rsid w:val="00EC7066"/>
    <w:rsid w:val="00ED049A"/>
    <w:rsid w:val="00ED05E6"/>
    <w:rsid w:val="00ED0633"/>
    <w:rsid w:val="00ED0EA2"/>
    <w:rsid w:val="00ED17FD"/>
    <w:rsid w:val="00ED1B2D"/>
    <w:rsid w:val="00ED1BFE"/>
    <w:rsid w:val="00ED1F01"/>
    <w:rsid w:val="00ED334F"/>
    <w:rsid w:val="00ED45AA"/>
    <w:rsid w:val="00ED6B11"/>
    <w:rsid w:val="00ED7405"/>
    <w:rsid w:val="00EE07BD"/>
    <w:rsid w:val="00EE13E1"/>
    <w:rsid w:val="00EE1EEF"/>
    <w:rsid w:val="00EE3897"/>
    <w:rsid w:val="00EF02D6"/>
    <w:rsid w:val="00EF090A"/>
    <w:rsid w:val="00EF1547"/>
    <w:rsid w:val="00EF2FF1"/>
    <w:rsid w:val="00EF3AA6"/>
    <w:rsid w:val="00EF4141"/>
    <w:rsid w:val="00EF44AD"/>
    <w:rsid w:val="00EF4654"/>
    <w:rsid w:val="00EF55D0"/>
    <w:rsid w:val="00F0055E"/>
    <w:rsid w:val="00F01A5E"/>
    <w:rsid w:val="00F050CE"/>
    <w:rsid w:val="00F0613D"/>
    <w:rsid w:val="00F127A0"/>
    <w:rsid w:val="00F12DB9"/>
    <w:rsid w:val="00F14788"/>
    <w:rsid w:val="00F15031"/>
    <w:rsid w:val="00F16DFB"/>
    <w:rsid w:val="00F17880"/>
    <w:rsid w:val="00F1793F"/>
    <w:rsid w:val="00F17EF1"/>
    <w:rsid w:val="00F20120"/>
    <w:rsid w:val="00F21220"/>
    <w:rsid w:val="00F222A5"/>
    <w:rsid w:val="00F22B47"/>
    <w:rsid w:val="00F239B5"/>
    <w:rsid w:val="00F24C1C"/>
    <w:rsid w:val="00F25492"/>
    <w:rsid w:val="00F2613E"/>
    <w:rsid w:val="00F26CB9"/>
    <w:rsid w:val="00F26D8C"/>
    <w:rsid w:val="00F2735F"/>
    <w:rsid w:val="00F27A40"/>
    <w:rsid w:val="00F30874"/>
    <w:rsid w:val="00F30D4B"/>
    <w:rsid w:val="00F30ED0"/>
    <w:rsid w:val="00F3154D"/>
    <w:rsid w:val="00F32720"/>
    <w:rsid w:val="00F32EA9"/>
    <w:rsid w:val="00F33B24"/>
    <w:rsid w:val="00F343E4"/>
    <w:rsid w:val="00F35715"/>
    <w:rsid w:val="00F365C3"/>
    <w:rsid w:val="00F376BA"/>
    <w:rsid w:val="00F3776A"/>
    <w:rsid w:val="00F403C4"/>
    <w:rsid w:val="00F40997"/>
    <w:rsid w:val="00F40A37"/>
    <w:rsid w:val="00F40DD3"/>
    <w:rsid w:val="00F41621"/>
    <w:rsid w:val="00F41C44"/>
    <w:rsid w:val="00F41D5F"/>
    <w:rsid w:val="00F42437"/>
    <w:rsid w:val="00F42893"/>
    <w:rsid w:val="00F42C59"/>
    <w:rsid w:val="00F42F95"/>
    <w:rsid w:val="00F43E4B"/>
    <w:rsid w:val="00F4655E"/>
    <w:rsid w:val="00F46AA4"/>
    <w:rsid w:val="00F46F3D"/>
    <w:rsid w:val="00F50790"/>
    <w:rsid w:val="00F50D38"/>
    <w:rsid w:val="00F51E97"/>
    <w:rsid w:val="00F55740"/>
    <w:rsid w:val="00F56EB7"/>
    <w:rsid w:val="00F578DE"/>
    <w:rsid w:val="00F603B5"/>
    <w:rsid w:val="00F616E8"/>
    <w:rsid w:val="00F61D7E"/>
    <w:rsid w:val="00F63DB9"/>
    <w:rsid w:val="00F653C6"/>
    <w:rsid w:val="00F66F5D"/>
    <w:rsid w:val="00F6711D"/>
    <w:rsid w:val="00F701A1"/>
    <w:rsid w:val="00F70BC6"/>
    <w:rsid w:val="00F71276"/>
    <w:rsid w:val="00F713D6"/>
    <w:rsid w:val="00F7267B"/>
    <w:rsid w:val="00F727EF"/>
    <w:rsid w:val="00F72BD1"/>
    <w:rsid w:val="00F73390"/>
    <w:rsid w:val="00F73C02"/>
    <w:rsid w:val="00F75494"/>
    <w:rsid w:val="00F75804"/>
    <w:rsid w:val="00F76931"/>
    <w:rsid w:val="00F77CCD"/>
    <w:rsid w:val="00F80198"/>
    <w:rsid w:val="00F80F2C"/>
    <w:rsid w:val="00F83190"/>
    <w:rsid w:val="00F8350B"/>
    <w:rsid w:val="00F83E88"/>
    <w:rsid w:val="00F83EF6"/>
    <w:rsid w:val="00F8401B"/>
    <w:rsid w:val="00F840DA"/>
    <w:rsid w:val="00F8415D"/>
    <w:rsid w:val="00F84307"/>
    <w:rsid w:val="00F847F5"/>
    <w:rsid w:val="00F9043F"/>
    <w:rsid w:val="00F9180B"/>
    <w:rsid w:val="00F91D4D"/>
    <w:rsid w:val="00F922FC"/>
    <w:rsid w:val="00F92950"/>
    <w:rsid w:val="00F92D39"/>
    <w:rsid w:val="00F93932"/>
    <w:rsid w:val="00F93A2D"/>
    <w:rsid w:val="00F93AEE"/>
    <w:rsid w:val="00F96121"/>
    <w:rsid w:val="00F973DF"/>
    <w:rsid w:val="00F97C6D"/>
    <w:rsid w:val="00FA0783"/>
    <w:rsid w:val="00FA21A5"/>
    <w:rsid w:val="00FA2542"/>
    <w:rsid w:val="00FA2FB6"/>
    <w:rsid w:val="00FA3773"/>
    <w:rsid w:val="00FA593E"/>
    <w:rsid w:val="00FB033D"/>
    <w:rsid w:val="00FB1C83"/>
    <w:rsid w:val="00FB6B67"/>
    <w:rsid w:val="00FC06DB"/>
    <w:rsid w:val="00FC14BA"/>
    <w:rsid w:val="00FC1B96"/>
    <w:rsid w:val="00FC50A9"/>
    <w:rsid w:val="00FD1073"/>
    <w:rsid w:val="00FD3312"/>
    <w:rsid w:val="00FD3785"/>
    <w:rsid w:val="00FD4009"/>
    <w:rsid w:val="00FD4A62"/>
    <w:rsid w:val="00FD4CCD"/>
    <w:rsid w:val="00FD63C9"/>
    <w:rsid w:val="00FD7649"/>
    <w:rsid w:val="00FE164A"/>
    <w:rsid w:val="00FE20A3"/>
    <w:rsid w:val="00FE243F"/>
    <w:rsid w:val="00FE2BB4"/>
    <w:rsid w:val="00FE37CF"/>
    <w:rsid w:val="00FE3DD5"/>
    <w:rsid w:val="00FE3E42"/>
    <w:rsid w:val="00FE3F2C"/>
    <w:rsid w:val="00FF0AB7"/>
    <w:rsid w:val="00FF13C2"/>
    <w:rsid w:val="00FF1ACE"/>
    <w:rsid w:val="00FF1CD0"/>
    <w:rsid w:val="00FF39ED"/>
    <w:rsid w:val="00FF409C"/>
    <w:rsid w:val="00FF46A3"/>
    <w:rsid w:val="00FF4787"/>
    <w:rsid w:val="00FF5BD4"/>
    <w:rsid w:val="00FF60F1"/>
    <w:rsid w:val="00FF6CCA"/>
    <w:rsid w:val="01A854A7"/>
    <w:rsid w:val="01A85D51"/>
    <w:rsid w:val="01FB0F02"/>
    <w:rsid w:val="0240310F"/>
    <w:rsid w:val="0264726A"/>
    <w:rsid w:val="02C975A1"/>
    <w:rsid w:val="02E337F7"/>
    <w:rsid w:val="03005E77"/>
    <w:rsid w:val="03376899"/>
    <w:rsid w:val="04E566E0"/>
    <w:rsid w:val="052971A9"/>
    <w:rsid w:val="05474655"/>
    <w:rsid w:val="05750C56"/>
    <w:rsid w:val="05C444B9"/>
    <w:rsid w:val="064E48E4"/>
    <w:rsid w:val="06B31420"/>
    <w:rsid w:val="06CA253D"/>
    <w:rsid w:val="06CC603E"/>
    <w:rsid w:val="07342561"/>
    <w:rsid w:val="074958E1"/>
    <w:rsid w:val="074E7BCE"/>
    <w:rsid w:val="07580B37"/>
    <w:rsid w:val="07D929D6"/>
    <w:rsid w:val="07DA627C"/>
    <w:rsid w:val="082F2519"/>
    <w:rsid w:val="08795696"/>
    <w:rsid w:val="091805FA"/>
    <w:rsid w:val="09A95A02"/>
    <w:rsid w:val="09CA2C2F"/>
    <w:rsid w:val="0A1B4CB7"/>
    <w:rsid w:val="0A302CC6"/>
    <w:rsid w:val="0A3864D3"/>
    <w:rsid w:val="0A960A6B"/>
    <w:rsid w:val="0B3D667F"/>
    <w:rsid w:val="0B553D20"/>
    <w:rsid w:val="0B571353"/>
    <w:rsid w:val="0BA43A83"/>
    <w:rsid w:val="0BBD33BC"/>
    <w:rsid w:val="0BE04C58"/>
    <w:rsid w:val="0C393981"/>
    <w:rsid w:val="0C8B2759"/>
    <w:rsid w:val="0CA066E9"/>
    <w:rsid w:val="0CBC1DD3"/>
    <w:rsid w:val="0CBF0B9E"/>
    <w:rsid w:val="0CE2526B"/>
    <w:rsid w:val="0CE77D67"/>
    <w:rsid w:val="0CEE5571"/>
    <w:rsid w:val="0D212781"/>
    <w:rsid w:val="0D465CA4"/>
    <w:rsid w:val="0D7A3C37"/>
    <w:rsid w:val="0D7C082F"/>
    <w:rsid w:val="0D9E2D17"/>
    <w:rsid w:val="0DAE3A79"/>
    <w:rsid w:val="0E073B32"/>
    <w:rsid w:val="0E0E7C07"/>
    <w:rsid w:val="0E672D09"/>
    <w:rsid w:val="0E7B0FCE"/>
    <w:rsid w:val="0E9E1929"/>
    <w:rsid w:val="0FAA4681"/>
    <w:rsid w:val="0FED487E"/>
    <w:rsid w:val="10324282"/>
    <w:rsid w:val="106B6AD1"/>
    <w:rsid w:val="109756E0"/>
    <w:rsid w:val="10D935B6"/>
    <w:rsid w:val="11323006"/>
    <w:rsid w:val="128235DD"/>
    <w:rsid w:val="12B934DA"/>
    <w:rsid w:val="130561C3"/>
    <w:rsid w:val="14A625C4"/>
    <w:rsid w:val="14D00F59"/>
    <w:rsid w:val="14DE5C5C"/>
    <w:rsid w:val="156E6CB3"/>
    <w:rsid w:val="15C56A7A"/>
    <w:rsid w:val="16D10186"/>
    <w:rsid w:val="16E80C16"/>
    <w:rsid w:val="17173305"/>
    <w:rsid w:val="1729478D"/>
    <w:rsid w:val="176E49BB"/>
    <w:rsid w:val="179476C0"/>
    <w:rsid w:val="179E678C"/>
    <w:rsid w:val="17C11489"/>
    <w:rsid w:val="189B3680"/>
    <w:rsid w:val="18AD4BFF"/>
    <w:rsid w:val="18F37025"/>
    <w:rsid w:val="194E2A53"/>
    <w:rsid w:val="19896E9A"/>
    <w:rsid w:val="19C64063"/>
    <w:rsid w:val="19F83C45"/>
    <w:rsid w:val="19FA594B"/>
    <w:rsid w:val="19FE70FC"/>
    <w:rsid w:val="1A2B6812"/>
    <w:rsid w:val="1A3C32CC"/>
    <w:rsid w:val="1A404921"/>
    <w:rsid w:val="1B141C3E"/>
    <w:rsid w:val="1B645FDE"/>
    <w:rsid w:val="1BAF5EC7"/>
    <w:rsid w:val="1BE41BC3"/>
    <w:rsid w:val="1BFB4027"/>
    <w:rsid w:val="1C0C656B"/>
    <w:rsid w:val="1C164F14"/>
    <w:rsid w:val="1C65722B"/>
    <w:rsid w:val="1C7E39FE"/>
    <w:rsid w:val="1C925641"/>
    <w:rsid w:val="1C9A5DF9"/>
    <w:rsid w:val="1CE617B0"/>
    <w:rsid w:val="1D082AAF"/>
    <w:rsid w:val="1D262E41"/>
    <w:rsid w:val="1D9C2511"/>
    <w:rsid w:val="1DB36D58"/>
    <w:rsid w:val="1DE44A10"/>
    <w:rsid w:val="1E1E7279"/>
    <w:rsid w:val="1E8F3340"/>
    <w:rsid w:val="1ECA5375"/>
    <w:rsid w:val="1EDB4ED0"/>
    <w:rsid w:val="1EF075D2"/>
    <w:rsid w:val="1F1C6739"/>
    <w:rsid w:val="1FA55DFC"/>
    <w:rsid w:val="1FCD33B5"/>
    <w:rsid w:val="1FCF79EC"/>
    <w:rsid w:val="1FDA4FE9"/>
    <w:rsid w:val="1FFC2F87"/>
    <w:rsid w:val="205F6556"/>
    <w:rsid w:val="20A7101D"/>
    <w:rsid w:val="20B46EB2"/>
    <w:rsid w:val="21BB65C8"/>
    <w:rsid w:val="221F3CDD"/>
    <w:rsid w:val="224249C3"/>
    <w:rsid w:val="225A62E9"/>
    <w:rsid w:val="22731552"/>
    <w:rsid w:val="228D396C"/>
    <w:rsid w:val="22F8048F"/>
    <w:rsid w:val="23D354BD"/>
    <w:rsid w:val="243B4281"/>
    <w:rsid w:val="24431BDE"/>
    <w:rsid w:val="245022DC"/>
    <w:rsid w:val="248C0D8D"/>
    <w:rsid w:val="24BD358B"/>
    <w:rsid w:val="24C818E6"/>
    <w:rsid w:val="24E0090C"/>
    <w:rsid w:val="251E4A80"/>
    <w:rsid w:val="2551197C"/>
    <w:rsid w:val="25950D9D"/>
    <w:rsid w:val="25FE2B31"/>
    <w:rsid w:val="260E7FC9"/>
    <w:rsid w:val="26373F08"/>
    <w:rsid w:val="26404627"/>
    <w:rsid w:val="26500679"/>
    <w:rsid w:val="26510C2B"/>
    <w:rsid w:val="26C71F4E"/>
    <w:rsid w:val="26F95DE2"/>
    <w:rsid w:val="27A73719"/>
    <w:rsid w:val="28425BE9"/>
    <w:rsid w:val="285C501C"/>
    <w:rsid w:val="28846158"/>
    <w:rsid w:val="28C74ECF"/>
    <w:rsid w:val="28FB0BB1"/>
    <w:rsid w:val="290A1803"/>
    <w:rsid w:val="29290FD7"/>
    <w:rsid w:val="297E60A1"/>
    <w:rsid w:val="297F6691"/>
    <w:rsid w:val="29897A35"/>
    <w:rsid w:val="29EB3B6B"/>
    <w:rsid w:val="2A704853"/>
    <w:rsid w:val="2AA02B44"/>
    <w:rsid w:val="2BD22234"/>
    <w:rsid w:val="2BDD6474"/>
    <w:rsid w:val="2C4C7156"/>
    <w:rsid w:val="2C593269"/>
    <w:rsid w:val="2CA450CE"/>
    <w:rsid w:val="2D051173"/>
    <w:rsid w:val="2D594B32"/>
    <w:rsid w:val="2D75641D"/>
    <w:rsid w:val="2DA328D9"/>
    <w:rsid w:val="2E6D4CBD"/>
    <w:rsid w:val="2EB5507F"/>
    <w:rsid w:val="2EE55A3B"/>
    <w:rsid w:val="2EE96E9D"/>
    <w:rsid w:val="2F4E2E5C"/>
    <w:rsid w:val="2F84370C"/>
    <w:rsid w:val="2FD51F89"/>
    <w:rsid w:val="2FD848B8"/>
    <w:rsid w:val="309A66A0"/>
    <w:rsid w:val="311B6FA8"/>
    <w:rsid w:val="31413001"/>
    <w:rsid w:val="317F3A5A"/>
    <w:rsid w:val="318761E6"/>
    <w:rsid w:val="31B4577A"/>
    <w:rsid w:val="31B84E2C"/>
    <w:rsid w:val="32063667"/>
    <w:rsid w:val="322D5E7C"/>
    <w:rsid w:val="32347428"/>
    <w:rsid w:val="32674CE9"/>
    <w:rsid w:val="32846B28"/>
    <w:rsid w:val="32A72C06"/>
    <w:rsid w:val="32CF5928"/>
    <w:rsid w:val="331738A7"/>
    <w:rsid w:val="3350190E"/>
    <w:rsid w:val="33AE612F"/>
    <w:rsid w:val="33B850E7"/>
    <w:rsid w:val="33D463AE"/>
    <w:rsid w:val="33DA2EB8"/>
    <w:rsid w:val="34055216"/>
    <w:rsid w:val="34621C0C"/>
    <w:rsid w:val="34972263"/>
    <w:rsid w:val="34C3224B"/>
    <w:rsid w:val="3570341F"/>
    <w:rsid w:val="363362A4"/>
    <w:rsid w:val="368B37F2"/>
    <w:rsid w:val="36AA4D7E"/>
    <w:rsid w:val="37266F8E"/>
    <w:rsid w:val="37446678"/>
    <w:rsid w:val="3747333B"/>
    <w:rsid w:val="37556BD7"/>
    <w:rsid w:val="37A12A4B"/>
    <w:rsid w:val="37D33C75"/>
    <w:rsid w:val="381B7DDA"/>
    <w:rsid w:val="38DF1EBC"/>
    <w:rsid w:val="38EF7CFE"/>
    <w:rsid w:val="38FB5D20"/>
    <w:rsid w:val="39205F97"/>
    <w:rsid w:val="392448A2"/>
    <w:rsid w:val="395A5F36"/>
    <w:rsid w:val="398C17A1"/>
    <w:rsid w:val="39DD0B8C"/>
    <w:rsid w:val="3A116304"/>
    <w:rsid w:val="3A1E37FC"/>
    <w:rsid w:val="3A427935"/>
    <w:rsid w:val="3A497757"/>
    <w:rsid w:val="3A5B100F"/>
    <w:rsid w:val="3A7970A4"/>
    <w:rsid w:val="3AAC3D6F"/>
    <w:rsid w:val="3AE535C6"/>
    <w:rsid w:val="3B1315BC"/>
    <w:rsid w:val="3B190BE6"/>
    <w:rsid w:val="3B4C5C32"/>
    <w:rsid w:val="3B7C2C60"/>
    <w:rsid w:val="3BA810F0"/>
    <w:rsid w:val="3BD115FA"/>
    <w:rsid w:val="3BF944B7"/>
    <w:rsid w:val="3C2D1070"/>
    <w:rsid w:val="3C40055F"/>
    <w:rsid w:val="3C68729C"/>
    <w:rsid w:val="3C6E5764"/>
    <w:rsid w:val="3C974F8D"/>
    <w:rsid w:val="3CCE4AC6"/>
    <w:rsid w:val="3D1E390A"/>
    <w:rsid w:val="3D3F4511"/>
    <w:rsid w:val="3D452602"/>
    <w:rsid w:val="3DF2644C"/>
    <w:rsid w:val="3E437E29"/>
    <w:rsid w:val="3E4539BB"/>
    <w:rsid w:val="3E5724D8"/>
    <w:rsid w:val="3E632685"/>
    <w:rsid w:val="3E695159"/>
    <w:rsid w:val="3E8F3424"/>
    <w:rsid w:val="3ED24595"/>
    <w:rsid w:val="3F1439EF"/>
    <w:rsid w:val="3F955555"/>
    <w:rsid w:val="40462E0E"/>
    <w:rsid w:val="40CA68E6"/>
    <w:rsid w:val="413D624B"/>
    <w:rsid w:val="41533BE0"/>
    <w:rsid w:val="41747836"/>
    <w:rsid w:val="418E5F9D"/>
    <w:rsid w:val="41CB4077"/>
    <w:rsid w:val="4235270E"/>
    <w:rsid w:val="42391FD5"/>
    <w:rsid w:val="42492EE3"/>
    <w:rsid w:val="424C4C28"/>
    <w:rsid w:val="426D24C4"/>
    <w:rsid w:val="4275143C"/>
    <w:rsid w:val="42766CC6"/>
    <w:rsid w:val="42830090"/>
    <w:rsid w:val="428C3EDF"/>
    <w:rsid w:val="42A578B5"/>
    <w:rsid w:val="43AC24A9"/>
    <w:rsid w:val="43AF0A03"/>
    <w:rsid w:val="43BD07B0"/>
    <w:rsid w:val="43C85F73"/>
    <w:rsid w:val="43E62DD1"/>
    <w:rsid w:val="43FA218A"/>
    <w:rsid w:val="44102BCD"/>
    <w:rsid w:val="443B3D36"/>
    <w:rsid w:val="447357DC"/>
    <w:rsid w:val="44A00052"/>
    <w:rsid w:val="44FA2E9F"/>
    <w:rsid w:val="45574CCE"/>
    <w:rsid w:val="457C2D10"/>
    <w:rsid w:val="45B61021"/>
    <w:rsid w:val="45CC59C0"/>
    <w:rsid w:val="45D42B14"/>
    <w:rsid w:val="45F4643C"/>
    <w:rsid w:val="46464A8E"/>
    <w:rsid w:val="4686686B"/>
    <w:rsid w:val="468B50CB"/>
    <w:rsid w:val="46E9010C"/>
    <w:rsid w:val="470D65F5"/>
    <w:rsid w:val="471D463F"/>
    <w:rsid w:val="47287A4D"/>
    <w:rsid w:val="47471FA4"/>
    <w:rsid w:val="47867EDA"/>
    <w:rsid w:val="47F8015C"/>
    <w:rsid w:val="488820B1"/>
    <w:rsid w:val="48B404BC"/>
    <w:rsid w:val="48FE65BC"/>
    <w:rsid w:val="491C3583"/>
    <w:rsid w:val="492412FB"/>
    <w:rsid w:val="49303E4C"/>
    <w:rsid w:val="49373740"/>
    <w:rsid w:val="49B20A69"/>
    <w:rsid w:val="49C66DC1"/>
    <w:rsid w:val="4A145E65"/>
    <w:rsid w:val="4A65690E"/>
    <w:rsid w:val="4A814090"/>
    <w:rsid w:val="4B082AD3"/>
    <w:rsid w:val="4B2F126D"/>
    <w:rsid w:val="4B73741D"/>
    <w:rsid w:val="4B756F8C"/>
    <w:rsid w:val="4BD3400F"/>
    <w:rsid w:val="4BEE0168"/>
    <w:rsid w:val="4C3B3C92"/>
    <w:rsid w:val="4CD452E0"/>
    <w:rsid w:val="4CE1122E"/>
    <w:rsid w:val="4CFD4D46"/>
    <w:rsid w:val="4D5F50A3"/>
    <w:rsid w:val="4D6B272C"/>
    <w:rsid w:val="4DB71593"/>
    <w:rsid w:val="4DD9654B"/>
    <w:rsid w:val="4DEE6FE0"/>
    <w:rsid w:val="4DF16020"/>
    <w:rsid w:val="4E54616E"/>
    <w:rsid w:val="4E5F2D6C"/>
    <w:rsid w:val="4E83748D"/>
    <w:rsid w:val="4E922C59"/>
    <w:rsid w:val="4EEE6A9D"/>
    <w:rsid w:val="4F9A1E02"/>
    <w:rsid w:val="4FDD292C"/>
    <w:rsid w:val="5010149C"/>
    <w:rsid w:val="505C3BE7"/>
    <w:rsid w:val="50A03310"/>
    <w:rsid w:val="50E27F05"/>
    <w:rsid w:val="50E336C1"/>
    <w:rsid w:val="50E4096B"/>
    <w:rsid w:val="50F1062E"/>
    <w:rsid w:val="511C421F"/>
    <w:rsid w:val="51230FED"/>
    <w:rsid w:val="513E6F0F"/>
    <w:rsid w:val="515E50B1"/>
    <w:rsid w:val="51765142"/>
    <w:rsid w:val="51D1030F"/>
    <w:rsid w:val="51DA7D82"/>
    <w:rsid w:val="51F86890"/>
    <w:rsid w:val="52374C77"/>
    <w:rsid w:val="527E7572"/>
    <w:rsid w:val="52803284"/>
    <w:rsid w:val="53285E27"/>
    <w:rsid w:val="55232F42"/>
    <w:rsid w:val="553735AE"/>
    <w:rsid w:val="55DE67C1"/>
    <w:rsid w:val="56384123"/>
    <w:rsid w:val="566876B0"/>
    <w:rsid w:val="56AB50DA"/>
    <w:rsid w:val="56B25804"/>
    <w:rsid w:val="56C0393F"/>
    <w:rsid w:val="5712706A"/>
    <w:rsid w:val="57347BEB"/>
    <w:rsid w:val="57456465"/>
    <w:rsid w:val="577E5426"/>
    <w:rsid w:val="57897141"/>
    <w:rsid w:val="57B60252"/>
    <w:rsid w:val="57C74048"/>
    <w:rsid w:val="57C8136F"/>
    <w:rsid w:val="58584DDD"/>
    <w:rsid w:val="585A4825"/>
    <w:rsid w:val="586A27D0"/>
    <w:rsid w:val="586F7365"/>
    <w:rsid w:val="58B117FA"/>
    <w:rsid w:val="58B56BB8"/>
    <w:rsid w:val="592F2A32"/>
    <w:rsid w:val="59741FBC"/>
    <w:rsid w:val="598A0A07"/>
    <w:rsid w:val="59C52B98"/>
    <w:rsid w:val="59DC61E6"/>
    <w:rsid w:val="59F31DEE"/>
    <w:rsid w:val="59F44D48"/>
    <w:rsid w:val="5A1210F3"/>
    <w:rsid w:val="5A47502D"/>
    <w:rsid w:val="5A9418A9"/>
    <w:rsid w:val="5ACC4EA1"/>
    <w:rsid w:val="5AE625AD"/>
    <w:rsid w:val="5B35FA5D"/>
    <w:rsid w:val="5B8356AB"/>
    <w:rsid w:val="5BF16559"/>
    <w:rsid w:val="5C1357C0"/>
    <w:rsid w:val="5C3A2476"/>
    <w:rsid w:val="5C5A4955"/>
    <w:rsid w:val="5C9C05B9"/>
    <w:rsid w:val="5CB73B2D"/>
    <w:rsid w:val="5DC944B4"/>
    <w:rsid w:val="5DEA21A7"/>
    <w:rsid w:val="5E9652BC"/>
    <w:rsid w:val="5E9C68C8"/>
    <w:rsid w:val="5E9D6249"/>
    <w:rsid w:val="5E9FA5D9"/>
    <w:rsid w:val="5EB606D2"/>
    <w:rsid w:val="5F3C1E8F"/>
    <w:rsid w:val="5F7316DF"/>
    <w:rsid w:val="5FB540F1"/>
    <w:rsid w:val="608B0118"/>
    <w:rsid w:val="61131245"/>
    <w:rsid w:val="616C7C47"/>
    <w:rsid w:val="61965C29"/>
    <w:rsid w:val="6220453C"/>
    <w:rsid w:val="62502789"/>
    <w:rsid w:val="628C25B1"/>
    <w:rsid w:val="62F13FD7"/>
    <w:rsid w:val="63505783"/>
    <w:rsid w:val="635F7193"/>
    <w:rsid w:val="637F1B3E"/>
    <w:rsid w:val="638031CB"/>
    <w:rsid w:val="638504B3"/>
    <w:rsid w:val="63862972"/>
    <w:rsid w:val="63AC63C4"/>
    <w:rsid w:val="641A7A3C"/>
    <w:rsid w:val="647672A0"/>
    <w:rsid w:val="64883E5F"/>
    <w:rsid w:val="648D35CA"/>
    <w:rsid w:val="649A40E6"/>
    <w:rsid w:val="64DC1CC5"/>
    <w:rsid w:val="652816BF"/>
    <w:rsid w:val="65950EC4"/>
    <w:rsid w:val="65F13829"/>
    <w:rsid w:val="660918F9"/>
    <w:rsid w:val="66C61418"/>
    <w:rsid w:val="66EF6A05"/>
    <w:rsid w:val="672036C9"/>
    <w:rsid w:val="677026C6"/>
    <w:rsid w:val="67FC381F"/>
    <w:rsid w:val="682C526F"/>
    <w:rsid w:val="68777541"/>
    <w:rsid w:val="68BF1E69"/>
    <w:rsid w:val="691F3372"/>
    <w:rsid w:val="6937496B"/>
    <w:rsid w:val="694E7808"/>
    <w:rsid w:val="69564AA1"/>
    <w:rsid w:val="69574B9D"/>
    <w:rsid w:val="698274C7"/>
    <w:rsid w:val="69876D56"/>
    <w:rsid w:val="69BB0B2C"/>
    <w:rsid w:val="69E25967"/>
    <w:rsid w:val="69F85048"/>
    <w:rsid w:val="6A0A32B1"/>
    <w:rsid w:val="6A1348B6"/>
    <w:rsid w:val="6A403425"/>
    <w:rsid w:val="6A911080"/>
    <w:rsid w:val="6AE61F48"/>
    <w:rsid w:val="6AE82D1C"/>
    <w:rsid w:val="6B477A2A"/>
    <w:rsid w:val="6B5A4EA4"/>
    <w:rsid w:val="6C300A85"/>
    <w:rsid w:val="6D8603FC"/>
    <w:rsid w:val="6D984053"/>
    <w:rsid w:val="6E4A686E"/>
    <w:rsid w:val="6E4A7EEE"/>
    <w:rsid w:val="6F6D0E8A"/>
    <w:rsid w:val="6F822E81"/>
    <w:rsid w:val="6FCA62DC"/>
    <w:rsid w:val="6FDFDC0A"/>
    <w:rsid w:val="702B1BEA"/>
    <w:rsid w:val="70394621"/>
    <w:rsid w:val="703C3F2A"/>
    <w:rsid w:val="704716DB"/>
    <w:rsid w:val="70805AD1"/>
    <w:rsid w:val="708861B8"/>
    <w:rsid w:val="70933000"/>
    <w:rsid w:val="70BA5657"/>
    <w:rsid w:val="70BD124F"/>
    <w:rsid w:val="70CF1EF9"/>
    <w:rsid w:val="71000FCE"/>
    <w:rsid w:val="71451F75"/>
    <w:rsid w:val="717621F9"/>
    <w:rsid w:val="71B32BBF"/>
    <w:rsid w:val="71B82794"/>
    <w:rsid w:val="71C07405"/>
    <w:rsid w:val="71CBBA1B"/>
    <w:rsid w:val="721F148D"/>
    <w:rsid w:val="723746D4"/>
    <w:rsid w:val="72B25695"/>
    <w:rsid w:val="72C36EB5"/>
    <w:rsid w:val="73154050"/>
    <w:rsid w:val="73473CEB"/>
    <w:rsid w:val="74CE4179"/>
    <w:rsid w:val="752F2E44"/>
    <w:rsid w:val="75A31721"/>
    <w:rsid w:val="75AB270C"/>
    <w:rsid w:val="75ED7F88"/>
    <w:rsid w:val="764D1CB9"/>
    <w:rsid w:val="76560CAB"/>
    <w:rsid w:val="76697EDF"/>
    <w:rsid w:val="76C0240B"/>
    <w:rsid w:val="777C72FE"/>
    <w:rsid w:val="779E7AEC"/>
    <w:rsid w:val="77A46CDC"/>
    <w:rsid w:val="77B94D93"/>
    <w:rsid w:val="77CF3D36"/>
    <w:rsid w:val="77D050AF"/>
    <w:rsid w:val="77F956BF"/>
    <w:rsid w:val="77FB4B82"/>
    <w:rsid w:val="787723BE"/>
    <w:rsid w:val="78847A1B"/>
    <w:rsid w:val="78EC0174"/>
    <w:rsid w:val="791715E5"/>
    <w:rsid w:val="792E135E"/>
    <w:rsid w:val="793E6B13"/>
    <w:rsid w:val="7989025D"/>
    <w:rsid w:val="7A14512C"/>
    <w:rsid w:val="7A334147"/>
    <w:rsid w:val="7A990249"/>
    <w:rsid w:val="7AF20495"/>
    <w:rsid w:val="7AF74774"/>
    <w:rsid w:val="7B580B80"/>
    <w:rsid w:val="7B72DFE1"/>
    <w:rsid w:val="7B7860ED"/>
    <w:rsid w:val="7BE025DA"/>
    <w:rsid w:val="7BF10398"/>
    <w:rsid w:val="7BFB793B"/>
    <w:rsid w:val="7C6E4EC1"/>
    <w:rsid w:val="7D134EDC"/>
    <w:rsid w:val="7D6557F3"/>
    <w:rsid w:val="7D8A7404"/>
    <w:rsid w:val="7DAA09B0"/>
    <w:rsid w:val="7DE14F1D"/>
    <w:rsid w:val="7DF768D5"/>
    <w:rsid w:val="7E3E7916"/>
    <w:rsid w:val="7E75482F"/>
    <w:rsid w:val="7E941F8F"/>
    <w:rsid w:val="7EA71D7C"/>
    <w:rsid w:val="7EB470EC"/>
    <w:rsid w:val="7EE66CD4"/>
    <w:rsid w:val="7EFF3B67"/>
    <w:rsid w:val="7F195E74"/>
    <w:rsid w:val="7F35093E"/>
    <w:rsid w:val="7F5C30F0"/>
    <w:rsid w:val="7F63180E"/>
    <w:rsid w:val="7F767BD7"/>
    <w:rsid w:val="7F8964AB"/>
    <w:rsid w:val="916F2908"/>
    <w:rsid w:val="BEB708EE"/>
    <w:rsid w:val="DEBB826D"/>
    <w:rsid w:val="E6A346E6"/>
    <w:rsid w:val="EEC51BEC"/>
    <w:rsid w:val="EF39B718"/>
    <w:rsid w:val="F3DC6638"/>
    <w:rsid w:val="F6FF1394"/>
    <w:rsid w:val="F76DA2FA"/>
    <w:rsid w:val="F791ABE0"/>
    <w:rsid w:val="F9FE60CF"/>
    <w:rsid w:val="FAFF24D2"/>
    <w:rsid w:val="FBCE72F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2"/>
    <w:basedOn w:val="1"/>
    <w:next w:val="1"/>
    <w:qFormat/>
    <w:uiPriority w:val="0"/>
    <w:pPr>
      <w:keepNext/>
      <w:keepLines/>
      <w:widowControl w:val="0"/>
      <w:suppressLineNumbers w:val="0"/>
      <w:spacing w:before="260" w:beforeAutospacing="0" w:after="260" w:afterAutospacing="0" w:line="415" w:lineRule="auto"/>
      <w:jc w:val="both"/>
      <w:outlineLvl w:val="1"/>
    </w:pPr>
    <w:rPr>
      <w:rFonts w:hint="default" w:ascii="Arial" w:hAnsi="Arial" w:eastAsia="黑体" w:cs="Angsana New"/>
      <w:b/>
      <w:kern w:val="0"/>
      <w:sz w:val="32"/>
      <w:szCs w:val="32"/>
      <w:lang w:val="en-US" w:eastAsia="zh-CN" w:bidi="ar"/>
    </w:rPr>
  </w:style>
  <w:style w:type="paragraph" w:styleId="8">
    <w:name w:val="heading 3"/>
    <w:basedOn w:val="1"/>
    <w:next w:val="1"/>
    <w:qFormat/>
    <w:uiPriority w:val="0"/>
    <w:pPr>
      <w:keepNext/>
      <w:keepLines/>
      <w:spacing w:before="260" w:after="260" w:line="415" w:lineRule="auto"/>
      <w:outlineLvl w:val="2"/>
    </w:pPr>
    <w:rPr>
      <w:b/>
      <w:bCs/>
      <w:sz w:val="32"/>
      <w:szCs w:val="32"/>
    </w:rPr>
  </w:style>
  <w:style w:type="character" w:default="1" w:styleId="19">
    <w:name w:val="Default Paragraph Font"/>
    <w:semiHidden/>
    <w:qFormat/>
    <w:uiPriority w:val="0"/>
  </w:style>
  <w:style w:type="table" w:default="1" w:styleId="17">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next w:val="5"/>
    <w:unhideWhenUsed/>
    <w:qFormat/>
    <w:uiPriority w:val="99"/>
    <w:pPr>
      <w:ind w:firstLine="420" w:firstLineChars="200"/>
    </w:pPr>
  </w:style>
  <w:style w:type="paragraph" w:styleId="3">
    <w:name w:val="Body Text Indent"/>
    <w:basedOn w:val="1"/>
    <w:next w:val="4"/>
    <w:link w:val="23"/>
    <w:qFormat/>
    <w:uiPriority w:val="0"/>
    <w:pPr>
      <w:spacing w:after="120"/>
      <w:ind w:left="420" w:leftChars="200"/>
    </w:pPr>
  </w:style>
  <w:style w:type="paragraph" w:styleId="4">
    <w:name w:val="envelope return"/>
    <w:basedOn w:val="1"/>
    <w:unhideWhenUsed/>
    <w:qFormat/>
    <w:uiPriority w:val="0"/>
    <w:pPr>
      <w:adjustRightInd w:val="0"/>
      <w:snapToGrid w:val="0"/>
      <w:spacing w:line="360" w:lineRule="auto"/>
      <w:ind w:right="240" w:firstLine="480" w:firstLineChars="200"/>
      <w:jc w:val="left"/>
    </w:pPr>
    <w:rPr>
      <w:rFonts w:ascii="Cambria" w:hAnsi="Cambria"/>
      <w:sz w:val="24"/>
    </w:rPr>
  </w:style>
  <w:style w:type="paragraph" w:styleId="5">
    <w:name w:val="Body Text First Indent"/>
    <w:basedOn w:val="6"/>
    <w:qFormat/>
    <w:uiPriority w:val="0"/>
    <w:pPr>
      <w:adjustRightInd w:val="0"/>
      <w:snapToGrid w:val="0"/>
      <w:spacing w:after="120" w:line="360" w:lineRule="auto"/>
      <w:ind w:right="240" w:firstLine="420" w:firstLineChars="100"/>
      <w:jc w:val="left"/>
    </w:pPr>
    <w:rPr>
      <w:rFonts w:ascii="宋体" w:hAnsi="宋体" w:eastAsia="方正仿宋_GBK"/>
      <w:kern w:val="2"/>
      <w:sz w:val="21"/>
      <w:szCs w:val="28"/>
    </w:rPr>
  </w:style>
  <w:style w:type="paragraph" w:styleId="6">
    <w:name w:val="Body Text"/>
    <w:basedOn w:val="1"/>
    <w:next w:val="2"/>
    <w:link w:val="21"/>
    <w:qFormat/>
    <w:uiPriority w:val="0"/>
    <w:pPr>
      <w:spacing w:after="120"/>
    </w:pPr>
  </w:style>
  <w:style w:type="paragraph" w:styleId="9">
    <w:name w:val="annotation text"/>
    <w:basedOn w:val="1"/>
    <w:link w:val="22"/>
    <w:semiHidden/>
    <w:qFormat/>
    <w:uiPriority w:val="99"/>
    <w:pPr>
      <w:jc w:val="left"/>
    </w:pPr>
    <w:rPr>
      <w:kern w:val="0"/>
      <w:sz w:val="20"/>
      <w:szCs w:val="20"/>
    </w:rPr>
  </w:style>
  <w:style w:type="paragraph" w:styleId="10">
    <w:name w:val="Plain Text"/>
    <w:basedOn w:val="1"/>
    <w:link w:val="24"/>
    <w:qFormat/>
    <w:uiPriority w:val="0"/>
    <w:pPr>
      <w:adjustRightInd w:val="0"/>
      <w:spacing w:line="312" w:lineRule="atLeast"/>
      <w:textAlignment w:val="baseline"/>
    </w:pPr>
    <w:rPr>
      <w:rFonts w:ascii="宋体" w:hAnsi="Courier New"/>
      <w:kern w:val="0"/>
      <w:szCs w:val="21"/>
    </w:rPr>
  </w:style>
  <w:style w:type="paragraph" w:styleId="11">
    <w:name w:val="Balloon Text"/>
    <w:basedOn w:val="1"/>
    <w:link w:val="25"/>
    <w:qFormat/>
    <w:uiPriority w:val="0"/>
    <w:rPr>
      <w:sz w:val="18"/>
      <w:szCs w:val="18"/>
    </w:rPr>
  </w:style>
  <w:style w:type="paragraph" w:styleId="12">
    <w:name w:val="footer"/>
    <w:basedOn w:val="1"/>
    <w:link w:val="26"/>
    <w:qFormat/>
    <w:uiPriority w:val="0"/>
    <w:pPr>
      <w:tabs>
        <w:tab w:val="center" w:pos="4153"/>
        <w:tab w:val="right" w:pos="8306"/>
      </w:tabs>
      <w:snapToGrid w:val="0"/>
      <w:jc w:val="left"/>
    </w:pPr>
    <w:rPr>
      <w:sz w:val="18"/>
      <w:szCs w:val="18"/>
    </w:rPr>
  </w:style>
  <w:style w:type="paragraph" w:styleId="13">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pPr>
      <w:tabs>
        <w:tab w:val="right" w:leader="dot" w:pos="8398"/>
      </w:tabs>
      <w:spacing w:before="120" w:after="120"/>
      <w:ind w:firstLine="240" w:firstLineChars="100"/>
      <w:jc w:val="left"/>
    </w:pPr>
    <w:rPr>
      <w:rFonts w:ascii="宋体" w:hAnsi="宋体"/>
      <w:b/>
      <w:bCs/>
      <w:caps/>
      <w:sz w:val="24"/>
    </w:rPr>
  </w:style>
  <w:style w:type="paragraph" w:styleId="15">
    <w:name w:val="Normal (Web)"/>
    <w:basedOn w:val="1"/>
    <w:qFormat/>
    <w:uiPriority w:val="0"/>
    <w:rPr>
      <w:sz w:val="24"/>
    </w:rPr>
  </w:style>
  <w:style w:type="paragraph" w:styleId="16">
    <w:name w:val="annotation subject"/>
    <w:basedOn w:val="9"/>
    <w:next w:val="9"/>
    <w:link w:val="28"/>
    <w:qFormat/>
    <w:uiPriority w:val="0"/>
    <w:rPr>
      <w:b/>
      <w:bCs/>
      <w:kern w:val="2"/>
      <w:sz w:val="21"/>
      <w:szCs w:val="24"/>
    </w:rPr>
  </w:style>
  <w:style w:type="table" w:styleId="18">
    <w:name w:val="Table Grid"/>
    <w:basedOn w:val="17"/>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annotation reference"/>
    <w:qFormat/>
    <w:uiPriority w:val="0"/>
    <w:rPr>
      <w:sz w:val="21"/>
      <w:szCs w:val="21"/>
    </w:rPr>
  </w:style>
  <w:style w:type="character" w:customStyle="1" w:styleId="21">
    <w:name w:val="正文文本 字符"/>
    <w:link w:val="6"/>
    <w:qFormat/>
    <w:locked/>
    <w:uiPriority w:val="0"/>
    <w:rPr>
      <w:rFonts w:eastAsia="宋体"/>
      <w:kern w:val="2"/>
      <w:sz w:val="21"/>
      <w:szCs w:val="24"/>
      <w:lang w:val="en-US" w:eastAsia="zh-CN" w:bidi="ar-SA"/>
    </w:rPr>
  </w:style>
  <w:style w:type="character" w:customStyle="1" w:styleId="22">
    <w:name w:val="批注文字 字符"/>
    <w:link w:val="9"/>
    <w:semiHidden/>
    <w:qFormat/>
    <w:uiPriority w:val="99"/>
  </w:style>
  <w:style w:type="character" w:customStyle="1" w:styleId="23">
    <w:name w:val="正文文本缩进 字符"/>
    <w:link w:val="3"/>
    <w:qFormat/>
    <w:uiPriority w:val="0"/>
    <w:rPr>
      <w:kern w:val="2"/>
      <w:sz w:val="21"/>
      <w:szCs w:val="24"/>
    </w:rPr>
  </w:style>
  <w:style w:type="character" w:customStyle="1" w:styleId="24">
    <w:name w:val="纯文本 字符"/>
    <w:link w:val="10"/>
    <w:qFormat/>
    <w:locked/>
    <w:uiPriority w:val="0"/>
    <w:rPr>
      <w:rFonts w:ascii="宋体" w:hAnsi="Courier New" w:eastAsia="宋体"/>
      <w:sz w:val="21"/>
      <w:szCs w:val="21"/>
      <w:lang w:val="en-US" w:eastAsia="zh-CN" w:bidi="ar-SA"/>
    </w:rPr>
  </w:style>
  <w:style w:type="character" w:customStyle="1" w:styleId="25">
    <w:name w:val="批注框文本 字符"/>
    <w:link w:val="11"/>
    <w:qFormat/>
    <w:uiPriority w:val="0"/>
    <w:rPr>
      <w:kern w:val="2"/>
      <w:sz w:val="18"/>
      <w:szCs w:val="18"/>
    </w:rPr>
  </w:style>
  <w:style w:type="character" w:customStyle="1" w:styleId="26">
    <w:name w:val="页脚 字符"/>
    <w:link w:val="12"/>
    <w:qFormat/>
    <w:locked/>
    <w:uiPriority w:val="0"/>
    <w:rPr>
      <w:rFonts w:eastAsia="宋体"/>
      <w:kern w:val="2"/>
      <w:sz w:val="18"/>
      <w:szCs w:val="18"/>
      <w:lang w:val="en-US" w:eastAsia="zh-CN" w:bidi="ar-SA"/>
    </w:rPr>
  </w:style>
  <w:style w:type="character" w:customStyle="1" w:styleId="27">
    <w:name w:val="页眉 字符"/>
    <w:link w:val="13"/>
    <w:qFormat/>
    <w:locked/>
    <w:uiPriority w:val="0"/>
    <w:rPr>
      <w:rFonts w:eastAsia="宋体"/>
      <w:kern w:val="2"/>
      <w:sz w:val="18"/>
      <w:szCs w:val="18"/>
      <w:lang w:val="en-US" w:eastAsia="zh-CN" w:bidi="ar-SA"/>
    </w:rPr>
  </w:style>
  <w:style w:type="character" w:customStyle="1" w:styleId="28">
    <w:name w:val="批注主题 字符"/>
    <w:link w:val="16"/>
    <w:qFormat/>
    <w:uiPriority w:val="0"/>
    <w:rPr>
      <w:b/>
      <w:bCs/>
      <w:kern w:val="2"/>
      <w:sz w:val="21"/>
      <w:szCs w:val="24"/>
    </w:rPr>
  </w:style>
  <w:style w:type="character" w:customStyle="1" w:styleId="29">
    <w:name w:val="纯文本 字符1"/>
    <w:semiHidden/>
    <w:qFormat/>
    <w:uiPriority w:val="99"/>
    <w:rPr>
      <w:rFonts w:ascii="宋体" w:hAnsi="Courier New" w:eastAsia="宋体" w:cs="Courier New"/>
      <w:szCs w:val="21"/>
    </w:rPr>
  </w:style>
  <w:style w:type="character" w:customStyle="1" w:styleId="30">
    <w:name w:val="15"/>
    <w:qFormat/>
    <w:uiPriority w:val="0"/>
    <w:rPr>
      <w:rFonts w:hint="default" w:ascii="Calibri" w:hAnsi="Calibri" w:cs="Calibri"/>
    </w:rPr>
  </w:style>
  <w:style w:type="character" w:customStyle="1" w:styleId="31">
    <w:name w:val="16"/>
    <w:qFormat/>
    <w:uiPriority w:val="0"/>
    <w:rPr>
      <w:rFonts w:hint="default" w:ascii="Arial" w:hAnsi="Arial" w:eastAsia="黑体" w:cs="Arial"/>
      <w:b/>
      <w:kern w:val="2"/>
      <w:sz w:val="32"/>
      <w:szCs w:val="32"/>
    </w:rPr>
  </w:style>
  <w:style w:type="character" w:customStyle="1" w:styleId="32">
    <w:name w:val="10"/>
    <w:qFormat/>
    <w:uiPriority w:val="0"/>
    <w:rPr>
      <w:rFonts w:hint="default" w:ascii="Calibri" w:hAnsi="Calibri" w:cs="Calibri"/>
    </w:rPr>
  </w:style>
  <w:style w:type="paragraph" w:customStyle="1" w:styleId="33">
    <w:name w:val="List Paragraph"/>
    <w:basedOn w:val="1"/>
    <w:qFormat/>
    <w:uiPriority w:val="0"/>
    <w:pPr>
      <w:ind w:firstLine="420" w:firstLineChars="200"/>
    </w:pPr>
  </w:style>
  <w:style w:type="paragraph" w:customStyle="1" w:styleId="34">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5">
    <w:name w:val="List Paragraph1"/>
    <w:basedOn w:val="1"/>
    <w:qFormat/>
    <w:uiPriority w:val="99"/>
    <w:pPr>
      <w:ind w:firstLine="420" w:firstLineChars="200"/>
    </w:pPr>
  </w:style>
  <w:style w:type="paragraph" w:customStyle="1" w:styleId="36">
    <w:name w:val="MSG_EN_FONT_STYLE_NAME_TEMPLATE_ROLE_NUMBER MSG_EN_FONT_STYLE_NAME_BY_ROLE_TEXT 2"/>
    <w:basedOn w:val="1"/>
    <w:qFormat/>
    <w:uiPriority w:val="99"/>
    <w:pPr>
      <w:shd w:val="clear" w:color="auto" w:fill="FFFFFF"/>
      <w:spacing w:line="518" w:lineRule="exact"/>
      <w:jc w:val="distribute"/>
    </w:pPr>
    <w:rPr>
      <w:rFonts w:ascii="PMingLiU" w:hAnsi="PMingLiU" w:eastAsia="PMingLiU" w:cs="PMingLiU"/>
      <w:spacing w:val="20"/>
      <w:sz w:val="30"/>
      <w:szCs w:val="30"/>
    </w:rPr>
  </w:style>
  <w:style w:type="character" w:customStyle="1" w:styleId="37">
    <w:name w:val="font11"/>
    <w:qFormat/>
    <w:uiPriority w:val="0"/>
    <w:rPr>
      <w:rFonts w:hint="eastAsia" w:ascii="宋体" w:hAnsi="宋体" w:eastAsia="宋体" w:cs="宋体"/>
      <w:color w:val="FF0000"/>
      <w:sz w:val="22"/>
      <w:szCs w:val="22"/>
      <w:u w:val="none"/>
    </w:rPr>
  </w:style>
  <w:style w:type="character" w:customStyle="1" w:styleId="38">
    <w:name w:val="font01"/>
    <w:qFormat/>
    <w:uiPriority w:val="0"/>
    <w:rPr>
      <w:rFonts w:hint="eastAsia" w:ascii="宋体" w:hAnsi="宋体" w:eastAsia="宋体" w:cs="宋体"/>
      <w:color w:val="000000"/>
      <w:sz w:val="22"/>
      <w:szCs w:val="22"/>
      <w:u w:val="none"/>
    </w:rPr>
  </w:style>
  <w:style w:type="paragraph" w:customStyle="1" w:styleId="39">
    <w:name w:val="_Style 35"/>
    <w:unhideWhenUsed/>
    <w:qFormat/>
    <w:uiPriority w:val="99"/>
    <w:rPr>
      <w:rFonts w:ascii="Times New Roman" w:hAnsi="Times New Roman" w:eastAsia="宋体" w:cs="Times New Roman"/>
      <w:kern w:val="2"/>
      <w:sz w:val="21"/>
      <w:szCs w:val="24"/>
      <w:lang w:val="en-US" w:eastAsia="zh-CN" w:bidi="ar-SA"/>
    </w:rPr>
  </w:style>
  <w:style w:type="paragraph" w:customStyle="1" w:styleId="40">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59</Pages>
  <Words>3532</Words>
  <Characters>20138</Characters>
  <Lines>167</Lines>
  <Paragraphs>47</Paragraphs>
  <TotalTime>5</TotalTime>
  <ScaleCrop>false</ScaleCrop>
  <LinksUpToDate>false</LinksUpToDate>
  <CharactersWithSpaces>23623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2021-12-13T08:34:00Z</dcterms:created>
  <dc:creator>DELL</dc:creator>
  <cp:lastModifiedBy>小意</cp:lastModifiedBy>
  <cp:lastPrinted>2023-03-23T11:53:00Z</cp:lastPrinted>
  <dcterms:modified xsi:type="dcterms:W3CDTF">2023-03-26T08:47:37Z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9909BC48D4CB408B811A4EC634B0410D</vt:lpwstr>
  </property>
</Properties>
</file>