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eastAsia="Times New Roman"/>
          <w:b/>
          <w:bCs/>
          <w:color w:val="auto"/>
          <w:sz w:val="10"/>
          <w:szCs w:val="10"/>
          <w:highlight w:val="none"/>
        </w:rPr>
      </w:pPr>
      <w:bookmarkStart w:id="28" w:name="_GoBack"/>
      <w:bookmarkEnd w:id="28"/>
      <w:r>
        <w:rPr>
          <w:rFonts w:eastAsia="Times New Roman"/>
          <w:b/>
          <w:bCs/>
          <w:color w:val="auto"/>
          <w:sz w:val="10"/>
          <w:szCs w:val="10"/>
          <w:highlight w:val="none"/>
        </w:rPr>
        <w:t xml:space="preserve">                                                          </w:t>
      </w:r>
      <w:bookmarkStart w:id="0" w:name="OLE_LINK1"/>
      <w:bookmarkStart w:id="1" w:name="OLE_LINK2"/>
    </w:p>
    <w:p>
      <w:pPr>
        <w:pStyle w:val="2"/>
        <w:jc w:val="center"/>
        <w:rPr>
          <w:rFonts w:eastAsia="方正小标宋简体"/>
          <w:color w:val="auto"/>
          <w:sz w:val="72"/>
          <w:szCs w:val="72"/>
          <w:highlight w:val="none"/>
        </w:rPr>
      </w:pPr>
    </w:p>
    <w:p>
      <w:pPr>
        <w:pStyle w:val="2"/>
        <w:jc w:val="center"/>
        <w:rPr>
          <w:rFonts w:hint="eastAsia" w:eastAsia="方正小标宋简体"/>
          <w:b/>
          <w:bCs/>
          <w:color w:val="auto"/>
          <w:sz w:val="52"/>
          <w:szCs w:val="52"/>
          <w:highlight w:val="none"/>
        </w:rPr>
      </w:pPr>
      <w:r>
        <w:rPr>
          <w:rFonts w:hint="eastAsia" w:eastAsia="方正小标宋简体"/>
          <w:b/>
          <w:bCs/>
          <w:color w:val="auto"/>
          <w:sz w:val="52"/>
          <w:szCs w:val="52"/>
          <w:highlight w:val="none"/>
        </w:rPr>
        <w:t>广西南博国际信息有限公司</w:t>
      </w:r>
    </w:p>
    <w:p>
      <w:pPr>
        <w:pStyle w:val="2"/>
        <w:jc w:val="center"/>
        <w:rPr>
          <w:rFonts w:hint="eastAsia" w:eastAsia="方正小标宋简体"/>
          <w:b/>
          <w:bCs/>
          <w:color w:val="auto"/>
          <w:sz w:val="52"/>
          <w:szCs w:val="52"/>
          <w:highlight w:val="none"/>
        </w:rPr>
      </w:pPr>
    </w:p>
    <w:p>
      <w:pPr>
        <w:pStyle w:val="2"/>
        <w:jc w:val="center"/>
        <w:rPr>
          <w:rFonts w:eastAsia="方正小标宋简体"/>
          <w:b/>
          <w:bCs/>
          <w:color w:val="auto"/>
          <w:sz w:val="52"/>
          <w:szCs w:val="52"/>
          <w:highlight w:val="none"/>
        </w:rPr>
      </w:pPr>
      <w:r>
        <w:rPr>
          <w:rFonts w:hint="eastAsia" w:eastAsia="方正小标宋简体"/>
          <w:b/>
          <w:bCs/>
          <w:color w:val="auto"/>
          <w:sz w:val="52"/>
          <w:szCs w:val="52"/>
          <w:highlight w:val="none"/>
        </w:rPr>
        <w:t>竞争性磋商文件</w:t>
      </w:r>
    </w:p>
    <w:p>
      <w:pPr>
        <w:spacing w:line="540" w:lineRule="exact"/>
        <w:ind w:firstLine="1280" w:firstLineChars="400"/>
        <w:rPr>
          <w:rFonts w:eastAsia="Times New Roman"/>
          <w:color w:val="auto"/>
          <w:sz w:val="32"/>
          <w:szCs w:val="32"/>
          <w:highlight w:val="none"/>
        </w:rPr>
      </w:pPr>
    </w:p>
    <w:p>
      <w:pPr>
        <w:spacing w:line="540" w:lineRule="exact"/>
        <w:ind w:firstLine="1280" w:firstLineChars="400"/>
        <w:rPr>
          <w:rFonts w:eastAsia="Times New Roman"/>
          <w:color w:val="auto"/>
          <w:sz w:val="32"/>
          <w:szCs w:val="32"/>
          <w:highlight w:val="none"/>
        </w:rPr>
      </w:pPr>
    </w:p>
    <w:p>
      <w:pPr>
        <w:pStyle w:val="2"/>
        <w:ind w:firstLine="2072" w:firstLineChars="645"/>
        <w:rPr>
          <w:rFonts w:eastAsia="黑体"/>
          <w:b/>
          <w:color w:val="auto"/>
          <w:sz w:val="32"/>
          <w:szCs w:val="32"/>
          <w:highlight w:val="none"/>
        </w:rPr>
      </w:pPr>
    </w:p>
    <w:p>
      <w:pPr>
        <w:pStyle w:val="2"/>
        <w:ind w:firstLine="2072" w:firstLineChars="645"/>
        <w:rPr>
          <w:rFonts w:eastAsia="黑体"/>
          <w:b/>
          <w:color w:val="auto"/>
          <w:sz w:val="32"/>
          <w:szCs w:val="32"/>
          <w:highlight w:val="none"/>
        </w:rPr>
      </w:pPr>
      <w:r>
        <w:rPr>
          <w:rFonts w:eastAsia="黑体"/>
          <w:b/>
          <w:color w:val="auto"/>
          <w:sz w:val="32"/>
          <w:szCs w:val="32"/>
          <w:highlight w:val="none"/>
        </w:rPr>
        <w:t xml:space="preserve"> </w:t>
      </w:r>
    </w:p>
    <w:p>
      <w:pPr>
        <w:pStyle w:val="2"/>
        <w:ind w:firstLine="2072" w:firstLineChars="645"/>
        <w:rPr>
          <w:rFonts w:eastAsia="黑体"/>
          <w:b/>
          <w:color w:val="auto"/>
          <w:sz w:val="32"/>
          <w:szCs w:val="32"/>
          <w:highlight w:val="none"/>
        </w:rPr>
      </w:pPr>
    </w:p>
    <w:p>
      <w:pPr>
        <w:pStyle w:val="2"/>
        <w:ind w:left="2690" w:leftChars="524" w:hanging="1590" w:hangingChars="495"/>
        <w:rPr>
          <w:rFonts w:ascii="宋体" w:hAnsi="宋体" w:cs="宋体"/>
          <w:b/>
          <w:color w:val="auto"/>
          <w:sz w:val="32"/>
          <w:szCs w:val="32"/>
          <w:highlight w:val="none"/>
        </w:rPr>
      </w:pPr>
      <w:r>
        <w:rPr>
          <w:rFonts w:hint="eastAsia" w:ascii="宋体" w:hAnsi="宋体" w:cs="宋体"/>
          <w:b/>
          <w:color w:val="auto"/>
          <w:sz w:val="32"/>
          <w:szCs w:val="32"/>
          <w:highlight w:val="none"/>
        </w:rPr>
        <w:t>项目名称：</w:t>
      </w:r>
      <w:r>
        <w:rPr>
          <w:rFonts w:hint="eastAsia" w:ascii="宋体" w:hAnsi="宋体" w:cs="宋体"/>
          <w:b/>
          <w:color w:val="auto"/>
          <w:sz w:val="32"/>
          <w:szCs w:val="32"/>
          <w:highlight w:val="none"/>
          <w:shd w:val="clear" w:color="auto" w:fill="C9E7FF"/>
        </w:rPr>
        <w:t>呼叫中心系统采购服务</w:t>
      </w:r>
      <w:r>
        <w:rPr>
          <w:rFonts w:hint="eastAsia" w:ascii="宋体" w:hAnsi="宋体" w:cs="宋体"/>
          <w:b/>
          <w:color w:val="auto"/>
          <w:sz w:val="32"/>
          <w:szCs w:val="32"/>
          <w:highlight w:val="none"/>
        </w:rPr>
        <w:t>项目</w:t>
      </w:r>
    </w:p>
    <w:p>
      <w:pPr>
        <w:pStyle w:val="2"/>
        <w:ind w:left="2690" w:leftChars="524" w:hanging="1590" w:hangingChars="495"/>
        <w:rPr>
          <w:rFonts w:eastAsia="Times New Roman"/>
          <w:b/>
          <w:color w:val="auto"/>
          <w:sz w:val="32"/>
          <w:szCs w:val="32"/>
          <w:highlight w:val="none"/>
        </w:rPr>
      </w:pPr>
      <w:r>
        <w:rPr>
          <w:rFonts w:ascii="宋体" w:hAnsi="宋体" w:cs="宋体"/>
          <w:b/>
          <w:color w:val="auto"/>
          <w:sz w:val="32"/>
          <w:szCs w:val="32"/>
          <w:highlight w:val="none"/>
        </w:rPr>
        <w:t>采购</w:t>
      </w:r>
      <w:r>
        <w:rPr>
          <w:rFonts w:hint="eastAsia" w:ascii="宋体" w:hAnsi="宋体" w:cs="宋体"/>
          <w:b/>
          <w:color w:val="auto"/>
          <w:sz w:val="32"/>
          <w:szCs w:val="32"/>
          <w:highlight w:val="none"/>
        </w:rPr>
        <w:t>单位：广西南博国际信息有限公司</w:t>
      </w:r>
      <w:r>
        <w:rPr>
          <w:rFonts w:eastAsia="Times New Roman"/>
          <w:b/>
          <w:color w:val="auto"/>
          <w:sz w:val="32"/>
          <w:szCs w:val="32"/>
          <w:highlight w:val="none"/>
        </w:rPr>
        <w:t xml:space="preserve"> </w:t>
      </w:r>
    </w:p>
    <w:bookmarkEnd w:id="0"/>
    <w:bookmarkEnd w:id="1"/>
    <w:p>
      <w:pPr>
        <w:tabs>
          <w:tab w:val="left" w:pos="632"/>
        </w:tabs>
        <w:rPr>
          <w:rFonts w:eastAsia="Times New Roman"/>
          <w:b/>
          <w:bCs/>
          <w:color w:val="auto"/>
          <w:sz w:val="36"/>
          <w:szCs w:val="36"/>
          <w:highlight w:val="none"/>
        </w:rPr>
      </w:pPr>
    </w:p>
    <w:p>
      <w:pPr>
        <w:tabs>
          <w:tab w:val="left" w:pos="632"/>
        </w:tabs>
        <w:jc w:val="center"/>
        <w:rPr>
          <w:rFonts w:eastAsia="Times New Roman"/>
          <w:b/>
          <w:bCs/>
          <w:color w:val="auto"/>
          <w:sz w:val="36"/>
          <w:szCs w:val="36"/>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tabs>
          <w:tab w:val="left" w:pos="632"/>
        </w:tabs>
        <w:jc w:val="center"/>
        <w:rPr>
          <w:rFonts w:eastAsia="Times New Roman"/>
          <w:b/>
          <w:bCs/>
          <w:color w:val="auto"/>
          <w:sz w:val="18"/>
          <w:szCs w:val="18"/>
          <w:highlight w:val="none"/>
        </w:rPr>
      </w:pPr>
    </w:p>
    <w:p>
      <w:pPr>
        <w:spacing w:line="540" w:lineRule="exact"/>
        <w:ind w:firstLine="3040" w:firstLineChars="950"/>
        <w:rPr>
          <w:rFonts w:eastAsia="Times New Roman"/>
          <w:color w:val="auto"/>
          <w:sz w:val="32"/>
          <w:szCs w:val="32"/>
          <w:highlight w:val="none"/>
        </w:rPr>
      </w:pPr>
      <w:r>
        <w:rPr>
          <w:rFonts w:hint="eastAsia"/>
          <w:color w:val="auto"/>
          <w:sz w:val="32"/>
          <w:szCs w:val="32"/>
          <w:highlight w:val="none"/>
        </w:rPr>
        <w:t>2021</w:t>
      </w:r>
      <w:r>
        <w:rPr>
          <w:rFonts w:hint="eastAsia" w:ascii="宋体" w:hAnsi="宋体" w:cs="宋体"/>
          <w:color w:val="auto"/>
          <w:sz w:val="32"/>
          <w:szCs w:val="32"/>
          <w:highlight w:val="none"/>
        </w:rPr>
        <w:t>年</w:t>
      </w:r>
      <w:r>
        <w:rPr>
          <w:color w:val="auto"/>
          <w:sz w:val="32"/>
          <w:szCs w:val="32"/>
          <w:highlight w:val="none"/>
        </w:rPr>
        <w:t xml:space="preserve"> </w:t>
      </w:r>
      <w:r>
        <w:rPr>
          <w:rFonts w:hint="eastAsia"/>
          <w:color w:val="auto"/>
          <w:sz w:val="32"/>
          <w:szCs w:val="32"/>
          <w:highlight w:val="none"/>
          <w:lang w:eastAsia="zh-CN"/>
        </w:rPr>
        <w:t>1</w:t>
      </w:r>
      <w:r>
        <w:rPr>
          <w:rFonts w:hint="eastAsia"/>
          <w:color w:val="auto"/>
          <w:sz w:val="32"/>
          <w:szCs w:val="32"/>
          <w:highlight w:val="none"/>
          <w:lang w:val="en-US" w:eastAsia="zh-CN"/>
        </w:rPr>
        <w:t>2</w:t>
      </w:r>
      <w:r>
        <w:rPr>
          <w:rFonts w:hint="eastAsia" w:ascii="宋体" w:hAnsi="宋体" w:cs="宋体"/>
          <w:color w:val="auto"/>
          <w:sz w:val="32"/>
          <w:szCs w:val="32"/>
          <w:highlight w:val="none"/>
        </w:rPr>
        <w:t>月</w:t>
      </w:r>
      <w:r>
        <w:rPr>
          <w:rFonts w:hint="eastAsia" w:ascii="宋体" w:hAnsi="宋体" w:cs="宋体"/>
          <w:color w:val="auto"/>
          <w:sz w:val="32"/>
          <w:szCs w:val="32"/>
          <w:highlight w:val="none"/>
          <w:lang w:eastAsia="zh-CN"/>
        </w:rPr>
        <w:t>1</w:t>
      </w:r>
      <w:r>
        <w:rPr>
          <w:rFonts w:hint="eastAsia" w:ascii="宋体" w:hAnsi="宋体" w:cs="宋体"/>
          <w:color w:val="auto"/>
          <w:sz w:val="32"/>
          <w:szCs w:val="32"/>
          <w:highlight w:val="none"/>
          <w:lang w:val="en-US" w:eastAsia="zh-CN"/>
        </w:rPr>
        <w:t>6</w:t>
      </w:r>
      <w:r>
        <w:rPr>
          <w:rFonts w:hint="eastAsia" w:ascii="宋体" w:hAnsi="宋体" w:cs="宋体"/>
          <w:color w:val="auto"/>
          <w:sz w:val="32"/>
          <w:szCs w:val="32"/>
          <w:highlight w:val="none"/>
        </w:rPr>
        <w:t>日</w:t>
      </w:r>
    </w:p>
    <w:p>
      <w:pPr>
        <w:tabs>
          <w:tab w:val="left" w:pos="632"/>
        </w:tabs>
        <w:rPr>
          <w:b/>
          <w:bCs/>
          <w:color w:val="auto"/>
          <w:sz w:val="18"/>
          <w:szCs w:val="18"/>
          <w:highlight w:val="none"/>
        </w:rPr>
      </w:pPr>
    </w:p>
    <w:p>
      <w:pPr>
        <w:spacing w:line="400" w:lineRule="exact"/>
        <w:jc w:val="center"/>
        <w:rPr>
          <w:b/>
          <w:color w:val="auto"/>
          <w:sz w:val="32"/>
          <w:szCs w:val="32"/>
          <w:highlight w:val="none"/>
        </w:rPr>
        <w:sectPr>
          <w:headerReference r:id="rId5" w:type="first"/>
          <w:headerReference r:id="rId3" w:type="default"/>
          <w:footerReference r:id="rId6" w:type="default"/>
          <w:headerReference r:id="rId4" w:type="even"/>
          <w:footerReference r:id="rId7" w:type="even"/>
          <w:pgSz w:w="11906" w:h="16838"/>
          <w:pgMar w:top="1701" w:right="1531" w:bottom="1701" w:left="1701" w:header="851" w:footer="992" w:gutter="0"/>
          <w:pgNumType w:start="1"/>
          <w:cols w:space="720" w:num="1"/>
          <w:titlePg/>
          <w:docGrid w:type="lines" w:linePitch="312" w:charSpace="0"/>
        </w:sectPr>
      </w:pPr>
    </w:p>
    <w:p>
      <w:pPr>
        <w:jc w:val="center"/>
        <w:rPr>
          <w:rFonts w:ascii="华文中宋" w:hAnsi="华文中宋" w:eastAsia="华文中宋" w:cs="华文中宋"/>
          <w:color w:val="auto"/>
          <w:sz w:val="44"/>
          <w:szCs w:val="44"/>
          <w:highlight w:val="none"/>
        </w:rPr>
      </w:pPr>
      <w:r>
        <w:rPr>
          <w:rFonts w:hint="eastAsia" w:ascii="华文中宋" w:hAnsi="华文中宋" w:eastAsia="华文中宋" w:cs="华文中宋"/>
          <w:color w:val="auto"/>
          <w:sz w:val="44"/>
          <w:szCs w:val="44"/>
          <w:highlight w:val="none"/>
        </w:rPr>
        <w:t>目</w:t>
      </w:r>
      <w:r>
        <w:rPr>
          <w:rFonts w:ascii="华文中宋" w:hAnsi="华文中宋" w:eastAsia="华文中宋" w:cs="华文中宋"/>
          <w:color w:val="auto"/>
          <w:sz w:val="44"/>
          <w:szCs w:val="44"/>
          <w:highlight w:val="none"/>
        </w:rPr>
        <w:t xml:space="preserve">  </w:t>
      </w:r>
      <w:r>
        <w:rPr>
          <w:rFonts w:hint="eastAsia" w:ascii="华文中宋" w:hAnsi="华文中宋" w:eastAsia="华文中宋" w:cs="华文中宋"/>
          <w:color w:val="auto"/>
          <w:sz w:val="44"/>
          <w:szCs w:val="44"/>
          <w:highlight w:val="none"/>
        </w:rPr>
        <w:t>录</w:t>
      </w:r>
    </w:p>
    <w:p>
      <w:pPr>
        <w:pStyle w:val="11"/>
        <w:ind w:firstLine="241"/>
        <w:rPr>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ascii="Times New Roman" w:hAnsi="Times New Roman"/>
          <w:color w:val="auto"/>
          <w:sz w:val="36"/>
          <w:szCs w:val="36"/>
          <w:highlight w:val="none"/>
        </w:rPr>
        <w:fldChar w:fldCharType="begin"/>
      </w:r>
      <w:r>
        <w:rPr>
          <w:rFonts w:ascii="Times New Roman" w:hAnsi="Times New Roman"/>
          <w:color w:val="auto"/>
          <w:sz w:val="36"/>
          <w:szCs w:val="36"/>
          <w:highlight w:val="none"/>
        </w:rPr>
        <w:instrText xml:space="preserve">TOC \o "1-3" \h \u </w:instrText>
      </w:r>
      <w:r>
        <w:rPr>
          <w:rFonts w:ascii="Times New Roman" w:hAnsi="Times New Roman"/>
          <w:color w:val="auto"/>
          <w:sz w:val="36"/>
          <w:szCs w:val="36"/>
          <w:highlight w:val="none"/>
        </w:rPr>
        <w:fldChar w:fldCharType="separate"/>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"_Toc3917"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第一章</w:t>
      </w:r>
      <w:r>
        <w:rPr>
          <w:rFonts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rPr>
        <w:t>竞争性磋商公告</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 w:val="0"/>
          <w:bCs w:val="0"/>
          <w:color w:val="auto"/>
          <w:sz w:val="28"/>
          <w:szCs w:val="28"/>
          <w:highlight w:val="none"/>
        </w:rPr>
        <w:t>2</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"_Toc13647"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第二章</w:t>
      </w:r>
      <w:r>
        <w:rPr>
          <w:rFonts w:ascii="仿宋_GB2312" w:hAnsi="仿宋_GB2312" w:eastAsia="仿宋_GB2312" w:cs="仿宋_GB2312"/>
          <w:b w:val="0"/>
          <w:bCs w:val="0"/>
          <w:color w:val="auto"/>
          <w:sz w:val="28"/>
          <w:szCs w:val="28"/>
          <w:highlight w:val="none"/>
        </w:rPr>
        <w:t xml:space="preserve">  项目服务要求</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t>4</w:t>
      </w:r>
      <w:r>
        <w:rPr>
          <w:rFonts w:hint="eastAsia" w:ascii="仿宋_GB2312" w:hAnsi="仿宋_GB2312" w:eastAsia="仿宋_GB2312" w:cs="仿宋_GB2312"/>
          <w:color w:val="auto"/>
          <w:highlight w:val="none"/>
        </w:rPr>
        <w:fldChar w:fldCharType="end"/>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"_Toc15560"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第三章</w:t>
      </w:r>
      <w:r>
        <w:rPr>
          <w:rFonts w:ascii="仿宋_GB2312" w:hAnsi="仿宋_GB2312" w:eastAsia="仿宋_GB2312" w:cs="仿宋_GB2312"/>
          <w:b w:val="0"/>
          <w:bCs w:val="0"/>
          <w:color w:val="auto"/>
          <w:sz w:val="28"/>
          <w:szCs w:val="28"/>
          <w:highlight w:val="none"/>
        </w:rPr>
        <w:t xml:space="preserve">  供应商须知及前附表</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 w:val="0"/>
          <w:bCs w:val="0"/>
          <w:color w:val="auto"/>
          <w:sz w:val="28"/>
          <w:szCs w:val="28"/>
          <w:highlight w:val="none"/>
        </w:rPr>
        <w:t>8</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\l "_Toc1629" </w:instrText>
      </w:r>
      <w:r>
        <w:rPr>
          <w:rFonts w:hint="eastAsia" w:ascii="仿宋_GB2312" w:hAnsi="仿宋_GB2312" w:eastAsia="仿宋_GB2312" w:cs="仿宋_GB2312"/>
          <w:b w:val="0"/>
          <w:bCs w:val="0"/>
          <w:color w:val="auto"/>
          <w:highlight w:val="none"/>
        </w:rPr>
        <w:fldChar w:fldCharType="separate"/>
      </w:r>
      <w:r>
        <w:rPr>
          <w:rFonts w:hint="eastAsia" w:ascii="仿宋_GB2312" w:hAnsi="仿宋_GB2312" w:eastAsia="仿宋_GB2312" w:cs="仿宋_GB2312"/>
          <w:b w:val="0"/>
          <w:bCs w:val="0"/>
          <w:color w:val="auto"/>
          <w:sz w:val="28"/>
          <w:szCs w:val="28"/>
          <w:highlight w:val="none"/>
        </w:rPr>
        <w:t>第四章  评定成交的标准</w:t>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sz w:val="28"/>
          <w:szCs w:val="28"/>
          <w:highlight w:val="none"/>
        </w:rPr>
        <w:t>1</w:t>
      </w:r>
      <w:r>
        <w:rPr>
          <w:rFonts w:hint="eastAsia" w:ascii="仿宋_GB2312" w:hAnsi="仿宋_GB2312" w:eastAsia="仿宋_GB2312" w:cs="仿宋_GB2312"/>
          <w:b w:val="0"/>
          <w:bCs w:val="0"/>
          <w:color w:val="auto"/>
          <w:highlight w:val="none"/>
        </w:rPr>
        <w:fldChar w:fldCharType="end"/>
      </w:r>
      <w:r>
        <w:rPr>
          <w:rFonts w:hint="eastAsia" w:ascii="仿宋_GB2312" w:hAnsi="仿宋_GB2312" w:eastAsia="仿宋_GB2312" w:cs="仿宋_GB2312"/>
          <w:b w:val="0"/>
          <w:bCs w:val="0"/>
          <w:color w:val="auto"/>
          <w:sz w:val="28"/>
          <w:szCs w:val="28"/>
          <w:highlight w:val="none"/>
        </w:rPr>
        <w:t>4</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b w:val="0"/>
          <w:bCs w:val="0"/>
          <w:color w:val="auto"/>
          <w:highlight w:val="none"/>
        </w:rPr>
        <w:fldChar w:fldCharType="begin"/>
      </w:r>
      <w:r>
        <w:rPr>
          <w:rFonts w:hint="eastAsia" w:ascii="仿宋_GB2312" w:hAnsi="仿宋_GB2312" w:eastAsia="仿宋_GB2312" w:cs="仿宋_GB2312"/>
          <w:b w:val="0"/>
          <w:bCs w:val="0"/>
          <w:color w:val="auto"/>
          <w:highlight w:val="none"/>
        </w:rPr>
        <w:instrText xml:space="preserve"> HYPERLINK \l "_Toc1629" </w:instrText>
      </w:r>
      <w:r>
        <w:rPr>
          <w:rFonts w:hint="eastAsia" w:ascii="仿宋_GB2312" w:hAnsi="仿宋_GB2312" w:eastAsia="仿宋_GB2312" w:cs="仿宋_GB2312"/>
          <w:b w:val="0"/>
          <w:bCs w:val="0"/>
          <w:color w:val="auto"/>
          <w:highlight w:val="none"/>
        </w:rPr>
        <w:fldChar w:fldCharType="separate"/>
      </w:r>
      <w:r>
        <w:rPr>
          <w:rFonts w:hint="eastAsia" w:ascii="仿宋_GB2312" w:hAnsi="仿宋_GB2312" w:eastAsia="仿宋_GB2312" w:cs="仿宋_GB2312"/>
          <w:b w:val="0"/>
          <w:bCs w:val="0"/>
          <w:color w:val="auto"/>
          <w:sz w:val="28"/>
          <w:szCs w:val="28"/>
          <w:highlight w:val="none"/>
        </w:rPr>
        <w:t>第五章  合同格式</w:t>
      </w:r>
      <w:r>
        <w:rPr>
          <w:rFonts w:hint="eastAsia"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b w:val="0"/>
          <w:bCs w:val="0"/>
          <w:color w:val="auto"/>
          <w:highlight w:val="none"/>
        </w:rPr>
        <w:fldChar w:fldCharType="end"/>
      </w:r>
      <w:r>
        <w:rPr>
          <w:rFonts w:hint="eastAsia" w:ascii="仿宋_GB2312" w:hAnsi="仿宋_GB2312" w:eastAsia="仿宋_GB2312" w:cs="仿宋_GB2312"/>
          <w:b w:val="0"/>
          <w:bCs w:val="0"/>
          <w:color w:val="auto"/>
          <w:sz w:val="28"/>
          <w:szCs w:val="28"/>
          <w:highlight w:val="none"/>
        </w:rPr>
        <w:t>23</w:t>
      </w:r>
    </w:p>
    <w:p>
      <w:pPr>
        <w:rPr>
          <w:rFonts w:hint="eastAsia" w:ascii="仿宋_GB2312" w:hAnsi="仿宋_GB2312" w:eastAsia="仿宋_GB2312" w:cs="仿宋_GB2312"/>
          <w:color w:val="auto"/>
          <w:highlight w:val="none"/>
        </w:rPr>
      </w:pPr>
    </w:p>
    <w:p>
      <w:pPr>
        <w:pStyle w:val="11"/>
        <w:tabs>
          <w:tab w:val="right" w:leader="dot" w:pos="9070"/>
          <w:tab w:val="clear" w:pos="8398"/>
        </w:tabs>
        <w:ind w:firstLine="0" w:firstLineChars="0"/>
        <w:jc w:val="both"/>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\l "_Toc24295"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b w:val="0"/>
          <w:bCs w:val="0"/>
          <w:color w:val="auto"/>
          <w:sz w:val="28"/>
          <w:szCs w:val="28"/>
          <w:highlight w:val="none"/>
        </w:rPr>
        <w:t>第</w:t>
      </w:r>
      <w:r>
        <w:rPr>
          <w:rFonts w:ascii="仿宋_GB2312" w:hAnsi="仿宋_GB2312" w:eastAsia="仿宋_GB2312" w:cs="仿宋_GB2312"/>
          <w:b w:val="0"/>
          <w:bCs w:val="0"/>
          <w:color w:val="auto"/>
          <w:sz w:val="28"/>
          <w:szCs w:val="28"/>
          <w:highlight w:val="none"/>
        </w:rPr>
        <w:t>六</w:t>
      </w:r>
      <w:r>
        <w:rPr>
          <w:rFonts w:hint="eastAsia" w:ascii="仿宋_GB2312" w:hAnsi="仿宋_GB2312" w:eastAsia="仿宋_GB2312" w:cs="仿宋_GB2312"/>
          <w:b w:val="0"/>
          <w:bCs w:val="0"/>
          <w:color w:val="auto"/>
          <w:sz w:val="28"/>
          <w:szCs w:val="28"/>
          <w:highlight w:val="none"/>
        </w:rPr>
        <w:t>章</w:t>
      </w:r>
      <w:r>
        <w:rPr>
          <w:rFonts w:ascii="仿宋_GB2312" w:hAnsi="仿宋_GB2312" w:eastAsia="仿宋_GB2312" w:cs="仿宋_GB2312"/>
          <w:b w:val="0"/>
          <w:bCs w:val="0"/>
          <w:color w:val="auto"/>
          <w:sz w:val="28"/>
          <w:szCs w:val="28"/>
          <w:highlight w:val="none"/>
        </w:rPr>
        <w:t xml:space="preserve">  </w:t>
      </w:r>
      <w:r>
        <w:rPr>
          <w:rFonts w:hint="eastAsia" w:ascii="仿宋_GB2312" w:hAnsi="仿宋_GB2312" w:eastAsia="仿宋_GB2312" w:cs="仿宋_GB2312"/>
          <w:b w:val="0"/>
          <w:bCs w:val="0"/>
          <w:color w:val="auto"/>
          <w:sz w:val="28"/>
          <w:szCs w:val="28"/>
          <w:highlight w:val="none"/>
        </w:rPr>
        <w:t>响应文件格式</w:t>
      </w:r>
      <w:r>
        <w:rPr>
          <w:rFonts w:ascii="仿宋_GB2312" w:hAnsi="仿宋_GB2312" w:eastAsia="仿宋_GB2312" w:cs="仿宋_GB2312"/>
          <w:b w:val="0"/>
          <w:bCs w:val="0"/>
          <w:color w:val="auto"/>
          <w:sz w:val="28"/>
          <w:szCs w:val="28"/>
          <w:highlight w:val="none"/>
        </w:rPr>
        <w:tab/>
      </w:r>
      <w:r>
        <w:rPr>
          <w:rFonts w:hint="eastAsia" w:ascii="仿宋_GB2312" w:hAnsi="仿宋_GB2312" w:eastAsia="仿宋_GB2312" w:cs="仿宋_GB2312"/>
          <w:color w:val="auto"/>
          <w:highlight w:val="none"/>
        </w:rPr>
        <w:fldChar w:fldCharType="end"/>
      </w:r>
      <w:r>
        <w:rPr>
          <w:rFonts w:hint="eastAsia" w:ascii="仿宋_GB2312" w:hAnsi="仿宋_GB2312" w:eastAsia="仿宋_GB2312" w:cs="仿宋_GB2312"/>
          <w:b w:val="0"/>
          <w:bCs w:val="0"/>
          <w:color w:val="auto"/>
          <w:sz w:val="28"/>
          <w:szCs w:val="28"/>
          <w:highlight w:val="none"/>
        </w:rPr>
        <w:t>34</w:t>
      </w:r>
    </w:p>
    <w:p>
      <w:pPr>
        <w:rPr>
          <w:color w:val="auto"/>
          <w:highlight w:val="none"/>
        </w:rPr>
      </w:pPr>
    </w:p>
    <w:p>
      <w:pPr>
        <w:tabs>
          <w:tab w:val="left" w:pos="632"/>
        </w:tabs>
        <w:rPr>
          <w:b/>
          <w:bCs/>
          <w:color w:val="auto"/>
          <w:sz w:val="36"/>
          <w:szCs w:val="36"/>
          <w:highlight w:val="none"/>
        </w:rPr>
      </w:pPr>
      <w:r>
        <w:rPr>
          <w:color w:val="auto"/>
          <w:sz w:val="36"/>
          <w:szCs w:val="36"/>
          <w:highlight w:val="none"/>
        </w:rPr>
        <w:fldChar w:fldCharType="end"/>
      </w: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center"/>
        <w:rPr>
          <w:b/>
          <w:bCs/>
          <w:color w:val="auto"/>
          <w:sz w:val="36"/>
          <w:szCs w:val="36"/>
          <w:highlight w:val="none"/>
        </w:rPr>
      </w:pPr>
    </w:p>
    <w:p>
      <w:pPr>
        <w:tabs>
          <w:tab w:val="left" w:pos="632"/>
        </w:tabs>
        <w:jc w:val="left"/>
        <w:rPr>
          <w:b/>
          <w:bCs/>
          <w:color w:val="auto"/>
          <w:sz w:val="36"/>
          <w:szCs w:val="36"/>
          <w:highlight w:val="none"/>
        </w:rPr>
      </w:pPr>
    </w:p>
    <w:p>
      <w:pPr>
        <w:spacing w:line="400" w:lineRule="exact"/>
        <w:jc w:val="left"/>
        <w:rPr>
          <w:b/>
          <w:color w:val="auto"/>
          <w:sz w:val="32"/>
          <w:szCs w:val="32"/>
          <w:highlight w:val="none"/>
        </w:rPr>
        <w:sectPr>
          <w:headerReference r:id="rId8" w:type="default"/>
          <w:footerReference r:id="rId9" w:type="default"/>
          <w:pgSz w:w="11906" w:h="16838"/>
          <w:pgMar w:top="1418" w:right="1418" w:bottom="1418" w:left="1418" w:header="851" w:footer="992" w:gutter="0"/>
          <w:pgNumType w:start="1"/>
          <w:cols w:space="720" w:num="1"/>
          <w:docGrid w:type="lines" w:linePitch="312" w:charSpace="0"/>
        </w:sectPr>
      </w:pPr>
    </w:p>
    <w:p>
      <w:pPr>
        <w:tabs>
          <w:tab w:val="left" w:pos="632"/>
        </w:tabs>
        <w:jc w:val="center"/>
        <w:outlineLvl w:val="0"/>
        <w:rPr>
          <w:rFonts w:hint="eastAsia" w:eastAsia="华文中宋"/>
          <w:color w:val="auto"/>
          <w:sz w:val="32"/>
          <w:szCs w:val="32"/>
          <w:highlight w:val="none"/>
        </w:rPr>
      </w:pPr>
      <w:bookmarkStart w:id="2" w:name="_Toc3917"/>
      <w:r>
        <w:rPr>
          <w:rFonts w:hint="eastAsia" w:eastAsia="华文中宋"/>
          <w:color w:val="auto"/>
          <w:sz w:val="32"/>
          <w:szCs w:val="32"/>
          <w:highlight w:val="none"/>
        </w:rPr>
        <w:t>第一章</w:t>
      </w:r>
      <w:r>
        <w:rPr>
          <w:rFonts w:eastAsia="华文中宋"/>
          <w:color w:val="auto"/>
          <w:sz w:val="32"/>
          <w:szCs w:val="32"/>
          <w:highlight w:val="none"/>
        </w:rPr>
        <w:t xml:space="preserve">  </w:t>
      </w:r>
      <w:bookmarkEnd w:id="2"/>
      <w:r>
        <w:rPr>
          <w:rFonts w:hint="eastAsia" w:eastAsia="华文中宋"/>
          <w:color w:val="auto"/>
          <w:sz w:val="32"/>
          <w:szCs w:val="32"/>
          <w:highlight w:val="none"/>
        </w:rPr>
        <w:t>竞争性磋商公告</w:t>
      </w:r>
    </w:p>
    <w:p>
      <w:pPr>
        <w:tabs>
          <w:tab w:val="left" w:pos="632"/>
        </w:tabs>
        <w:spacing w:line="560" w:lineRule="exact"/>
        <w:ind w:firstLine="560" w:firstLineChars="200"/>
        <w:jc w:val="left"/>
        <w:rPr>
          <w:rFonts w:hint="eastAsia" w:ascii="仿宋_GB2312" w:hAnsi="仿宋_GB2312" w:eastAsia="仿宋_GB2312" w:cs="仿宋_GB2312"/>
          <w:b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广西南博国际信息有限公司针对客服热线系统服务项目采用竞争性磋商方式进行采购，现将有关事项公告如下：</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一、项目名称：</w:t>
      </w:r>
      <w:r>
        <w:rPr>
          <w:rFonts w:hint="eastAsia" w:ascii="仿宋_GB2312" w:hAnsi="仿宋_GB2312" w:eastAsia="仿宋_GB2312" w:cs="仿宋_GB2312"/>
          <w:bCs/>
          <w:color w:val="auto"/>
          <w:sz w:val="28"/>
          <w:szCs w:val="28"/>
          <w:highlight w:val="none"/>
        </w:rPr>
        <w:t>呼叫中心系统采购服务项目</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二、采购组织类型：</w:t>
      </w:r>
      <w:r>
        <w:rPr>
          <w:rFonts w:hint="eastAsia" w:ascii="仿宋_GB2312" w:hAnsi="仿宋_GB2312" w:eastAsia="仿宋_GB2312" w:cs="仿宋_GB2312"/>
          <w:bCs/>
          <w:color w:val="auto"/>
          <w:sz w:val="28"/>
          <w:szCs w:val="28"/>
          <w:highlight w:val="none"/>
        </w:rPr>
        <w:t>非政府采购项目</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三、采购内容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呼叫系统及客服人员服务；具体内容详见竞争性磋商文件。</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四、项目预算</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
          <w:i/>
          <w:iCs/>
          <w:color w:val="auto"/>
          <w:sz w:val="28"/>
          <w:szCs w:val="28"/>
          <w:highlight w:val="none"/>
        </w:rPr>
      </w:pPr>
      <w:r>
        <w:rPr>
          <w:rFonts w:hint="eastAsia" w:ascii="仿宋_GB2312" w:hAnsi="仿宋_GB2312" w:eastAsia="仿宋_GB2312" w:cs="仿宋_GB2312"/>
          <w:bCs/>
          <w:color w:val="auto"/>
          <w:sz w:val="28"/>
          <w:szCs w:val="28"/>
          <w:highlight w:val="none"/>
        </w:rPr>
        <w:t>人民币31.5</w:t>
      </w:r>
      <w:r>
        <w:rPr>
          <w:rFonts w:hint="default" w:ascii="仿宋_GB2312" w:hAnsi="仿宋_GB2312" w:eastAsia="仿宋_GB2312" w:cs="仿宋_GB2312"/>
          <w:bCs/>
          <w:color w:val="auto"/>
          <w:sz w:val="28"/>
          <w:szCs w:val="28"/>
          <w:highlight w:val="none"/>
        </w:rPr>
        <w:t>0</w:t>
      </w:r>
      <w:r>
        <w:rPr>
          <w:rFonts w:hint="eastAsia" w:ascii="仿宋_GB2312" w:hAnsi="仿宋_GB2312" w:eastAsia="仿宋_GB2312" w:cs="仿宋_GB2312"/>
          <w:bCs/>
          <w:color w:val="auto"/>
          <w:sz w:val="28"/>
          <w:szCs w:val="28"/>
          <w:highlight w:val="none"/>
        </w:rPr>
        <w:t>万元（¥315,000.00）。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五、供应商资格</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（一）国内注册（指按国家有关规定要求注册的），提供本次竞争性磋商采购服务，具备法人资格的供应商或其下属分支机构。</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（二）诚实守信，近三年内无违法及不良诚信记录。</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三）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（四）单位负责人为同一人或者存在直接控股、管理关系的不同投标人，不得参加同一合同项下的采购活动。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（五）本项目不接受联合体竞标。</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六、竞标保证金：</w:t>
      </w:r>
      <w:r>
        <w:rPr>
          <w:rFonts w:hint="eastAsia" w:ascii="仿宋_GB2312" w:hAnsi="仿宋_GB2312" w:eastAsia="仿宋_GB2312" w:cs="仿宋_GB2312"/>
          <w:bCs/>
          <w:color w:val="auto"/>
          <w:sz w:val="28"/>
          <w:szCs w:val="28"/>
          <w:highlight w:val="none"/>
        </w:rPr>
        <w:t>无。</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七、竞争性磋商文件的获取</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本公告自发布之日起，凡符合竞标资质要求的公司有意参加者均可前来报名竞标，竞争性磋商文件详见广西国际博览集团官网（http://www.gxexpogp.cn/）发布的磋商公告。</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获取时间：2021年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日公告发布之时起至2021年</w:t>
      </w:r>
      <w:r>
        <w:rPr>
          <w:rFonts w:hint="eastAsia" w:ascii="仿宋_GB2312" w:hAnsi="仿宋_GB2312" w:eastAsia="仿宋_GB2312" w:cs="仿宋_GB2312"/>
          <w:bCs/>
          <w:color w:val="auto"/>
          <w:sz w:val="28"/>
          <w:szCs w:val="28"/>
          <w:highlight w:val="yellow"/>
          <w:lang w:eastAsia="zh-CN"/>
        </w:rPr>
        <w:t>1</w:t>
      </w:r>
      <w:r>
        <w:rPr>
          <w:rFonts w:hint="eastAsia" w:ascii="仿宋_GB2312" w:hAnsi="仿宋_GB2312" w:eastAsia="仿宋_GB2312" w:cs="仿宋_GB2312"/>
          <w:bCs/>
          <w:color w:val="auto"/>
          <w:sz w:val="28"/>
          <w:szCs w:val="28"/>
          <w:highlight w:val="yellow"/>
          <w:lang w:val="en-US" w:eastAsia="zh-CN"/>
        </w:rPr>
        <w:t>2</w:t>
      </w:r>
      <w:r>
        <w:rPr>
          <w:rFonts w:hint="eastAsia" w:ascii="仿宋_GB2312" w:hAnsi="仿宋_GB2312" w:eastAsia="仿宋_GB2312" w:cs="仿宋_GB2312"/>
          <w:bCs/>
          <w:color w:val="auto"/>
          <w:sz w:val="28"/>
          <w:szCs w:val="28"/>
          <w:highlight w:val="yellow"/>
        </w:rPr>
        <w:t>月</w:t>
      </w:r>
      <w:r>
        <w:rPr>
          <w:rFonts w:hint="eastAsia" w:ascii="仿宋_GB2312" w:hAnsi="仿宋_GB2312" w:eastAsia="仿宋_GB2312" w:cs="仿宋_GB2312"/>
          <w:bCs/>
          <w:color w:val="auto"/>
          <w:sz w:val="28"/>
          <w:szCs w:val="28"/>
          <w:highlight w:val="yellow"/>
          <w:lang w:val="en-US" w:eastAsia="zh-CN"/>
        </w:rPr>
        <w:t>24</w:t>
      </w:r>
      <w:r>
        <w:rPr>
          <w:rFonts w:hint="eastAsia" w:ascii="仿宋_GB2312" w:hAnsi="仿宋_GB2312" w:eastAsia="仿宋_GB2312" w:cs="仿宋_GB2312"/>
          <w:bCs/>
          <w:color w:val="auto"/>
          <w:sz w:val="28"/>
          <w:szCs w:val="28"/>
          <w:highlight w:val="yellow"/>
        </w:rPr>
        <w:t>日</w:t>
      </w:r>
      <w:r>
        <w:rPr>
          <w:rFonts w:hint="eastAsia" w:ascii="仿宋_GB2312" w:hAnsi="仿宋_GB2312" w:eastAsia="仿宋_GB2312" w:cs="仿宋_GB2312"/>
          <w:bCs/>
          <w:color w:val="auto"/>
          <w:sz w:val="28"/>
          <w:szCs w:val="28"/>
          <w:highlight w:val="none"/>
          <w:lang w:val="en-US" w:eastAsia="zh-CN"/>
        </w:rPr>
        <w:t>9：00</w:t>
      </w:r>
      <w:r>
        <w:rPr>
          <w:rFonts w:hint="eastAsia" w:ascii="仿宋_GB2312" w:hAnsi="仿宋_GB2312" w:eastAsia="仿宋_GB2312" w:cs="仿宋_GB2312"/>
          <w:bCs/>
          <w:color w:val="auto"/>
          <w:sz w:val="28"/>
          <w:szCs w:val="28"/>
          <w:highlight w:val="none"/>
        </w:rPr>
        <w:t xml:space="preserve"> 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八、响应文件截止递交时间和地点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（一）响应文件截止递交时间：2021年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日8:00—</w:t>
      </w:r>
      <w:r>
        <w:rPr>
          <w:rFonts w:hint="eastAsia" w:ascii="仿宋_GB2312" w:hAnsi="仿宋_GB2312" w:eastAsia="仿宋_GB2312" w:cs="仿宋_GB2312"/>
          <w:bCs/>
          <w:color w:val="auto"/>
          <w:sz w:val="28"/>
          <w:szCs w:val="28"/>
          <w:highlight w:val="yellow"/>
        </w:rPr>
        <w:t>2021年</w:t>
      </w:r>
      <w:r>
        <w:rPr>
          <w:rFonts w:hint="eastAsia" w:ascii="仿宋_GB2312" w:hAnsi="仿宋_GB2312" w:eastAsia="仿宋_GB2312" w:cs="仿宋_GB2312"/>
          <w:bCs/>
          <w:color w:val="auto"/>
          <w:sz w:val="28"/>
          <w:szCs w:val="28"/>
          <w:highlight w:val="yellow"/>
          <w:lang w:eastAsia="zh-CN"/>
        </w:rPr>
        <w:t>1</w:t>
      </w:r>
      <w:r>
        <w:rPr>
          <w:rFonts w:hint="eastAsia" w:ascii="仿宋_GB2312" w:hAnsi="仿宋_GB2312" w:eastAsia="仿宋_GB2312" w:cs="仿宋_GB2312"/>
          <w:bCs/>
          <w:color w:val="auto"/>
          <w:sz w:val="28"/>
          <w:szCs w:val="28"/>
          <w:highlight w:val="yellow"/>
          <w:lang w:val="en-US" w:eastAsia="zh-CN"/>
        </w:rPr>
        <w:t>2</w:t>
      </w:r>
      <w:r>
        <w:rPr>
          <w:rFonts w:hint="eastAsia" w:ascii="仿宋_GB2312" w:hAnsi="仿宋_GB2312" w:eastAsia="仿宋_GB2312" w:cs="仿宋_GB2312"/>
          <w:bCs/>
          <w:color w:val="auto"/>
          <w:sz w:val="28"/>
          <w:szCs w:val="28"/>
          <w:highlight w:val="yellow"/>
        </w:rPr>
        <w:t>月</w:t>
      </w:r>
      <w:r>
        <w:rPr>
          <w:rFonts w:hint="eastAsia" w:ascii="仿宋_GB2312" w:hAnsi="仿宋_GB2312" w:eastAsia="仿宋_GB2312" w:cs="仿宋_GB2312"/>
          <w:bCs/>
          <w:color w:val="auto"/>
          <w:sz w:val="28"/>
          <w:szCs w:val="28"/>
          <w:highlight w:val="yellow"/>
          <w:lang w:val="en-US" w:eastAsia="zh-CN"/>
        </w:rPr>
        <w:t>24</w:t>
      </w:r>
      <w:r>
        <w:rPr>
          <w:rFonts w:hint="eastAsia" w:ascii="仿宋_GB2312" w:hAnsi="仿宋_GB2312" w:eastAsia="仿宋_GB2312" w:cs="仿宋_GB2312"/>
          <w:bCs/>
          <w:color w:val="auto"/>
          <w:sz w:val="28"/>
          <w:szCs w:val="28"/>
          <w:highlight w:val="yellow"/>
        </w:rPr>
        <w:t>日</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1:30</w:t>
      </w:r>
      <w:r>
        <w:rPr>
          <w:rFonts w:hint="eastAsia" w:ascii="仿宋_GB2312" w:hAnsi="仿宋_GB2312" w:eastAsia="仿宋_GB2312" w:cs="仿宋_GB2312"/>
          <w:bCs/>
          <w:color w:val="auto"/>
          <w:sz w:val="28"/>
          <w:szCs w:val="28"/>
          <w:highlight w:val="none"/>
        </w:rPr>
        <w:t>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（二）响应文件递交地点：广西南宁市民族大道106号南宁国际会展中心行政综合楼北302室，响应文件纸质版密封投递。</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
          <w:color w:val="auto"/>
          <w:sz w:val="28"/>
          <w:szCs w:val="28"/>
          <w:highlight w:val="none"/>
        </w:rPr>
        <w:t>九、响应文件开启时间、磋商时间及地点</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yellow"/>
        </w:rPr>
        <w:t>2021年</w:t>
      </w:r>
      <w:r>
        <w:rPr>
          <w:rFonts w:hint="eastAsia" w:ascii="仿宋_GB2312" w:hAnsi="仿宋_GB2312" w:eastAsia="仿宋_GB2312" w:cs="仿宋_GB2312"/>
          <w:bCs/>
          <w:color w:val="auto"/>
          <w:sz w:val="28"/>
          <w:szCs w:val="28"/>
          <w:highlight w:val="yellow"/>
          <w:lang w:eastAsia="zh-CN"/>
        </w:rPr>
        <w:t>1</w:t>
      </w:r>
      <w:r>
        <w:rPr>
          <w:rFonts w:hint="eastAsia" w:ascii="仿宋_GB2312" w:hAnsi="仿宋_GB2312" w:eastAsia="仿宋_GB2312" w:cs="仿宋_GB2312"/>
          <w:bCs/>
          <w:color w:val="auto"/>
          <w:sz w:val="28"/>
          <w:szCs w:val="28"/>
          <w:highlight w:val="yellow"/>
          <w:lang w:val="en-US" w:eastAsia="zh-CN"/>
        </w:rPr>
        <w:t>2</w:t>
      </w:r>
      <w:r>
        <w:rPr>
          <w:rFonts w:hint="eastAsia" w:ascii="仿宋_GB2312" w:hAnsi="仿宋_GB2312" w:eastAsia="仿宋_GB2312" w:cs="仿宋_GB2312"/>
          <w:bCs/>
          <w:color w:val="auto"/>
          <w:sz w:val="28"/>
          <w:szCs w:val="28"/>
          <w:highlight w:val="yellow"/>
        </w:rPr>
        <w:t>月</w:t>
      </w:r>
      <w:r>
        <w:rPr>
          <w:rFonts w:hint="eastAsia" w:ascii="仿宋_GB2312" w:hAnsi="仿宋_GB2312" w:eastAsia="仿宋_GB2312" w:cs="仿宋_GB2312"/>
          <w:bCs/>
          <w:color w:val="auto"/>
          <w:sz w:val="28"/>
          <w:szCs w:val="28"/>
          <w:highlight w:val="yellow"/>
          <w:lang w:val="en-US" w:eastAsia="zh-CN"/>
        </w:rPr>
        <w:t>24</w:t>
      </w:r>
      <w:r>
        <w:rPr>
          <w:rFonts w:hint="eastAsia" w:ascii="仿宋_GB2312" w:hAnsi="仿宋_GB2312" w:eastAsia="仿宋_GB2312" w:cs="仿宋_GB2312"/>
          <w:bCs/>
          <w:color w:val="auto"/>
          <w:sz w:val="28"/>
          <w:szCs w:val="28"/>
          <w:highlight w:val="yellow"/>
        </w:rPr>
        <w:t>日</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:00为开启响应文件及与供应商磋商时间</w:t>
      </w:r>
      <w:r>
        <w:rPr>
          <w:rFonts w:hint="default" w:ascii="仿宋_GB2312" w:hAnsi="仿宋_GB2312" w:eastAsia="仿宋_GB2312" w:cs="仿宋_GB2312"/>
          <w:bCs/>
          <w:color w:val="auto"/>
          <w:sz w:val="28"/>
          <w:szCs w:val="28"/>
          <w:highlight w:val="none"/>
        </w:rPr>
        <w:t>，具体地点由采购商另行通知。</w:t>
      </w:r>
      <w:r>
        <w:rPr>
          <w:rFonts w:hint="eastAsia" w:ascii="仿宋_GB2312" w:hAnsi="仿宋_GB2312" w:eastAsia="仿宋_GB2312" w:cs="仿宋_GB2312"/>
          <w:bCs/>
          <w:color w:val="auto"/>
          <w:sz w:val="28"/>
          <w:szCs w:val="28"/>
          <w:highlight w:val="none"/>
        </w:rPr>
        <w:t>参加竞争性磋商的法定代表人/负责人或委托代理人必须持证件（法定代表人/负责人凭法定代表人/负责人</w:t>
      </w:r>
      <w:r>
        <w:rPr>
          <w:rFonts w:hint="eastAsia" w:ascii="仿宋_GB2312" w:hAnsi="仿宋_GB2312" w:eastAsia="仿宋_GB2312" w:cs="仿宋_GB2312"/>
          <w:color w:val="auto"/>
          <w:sz w:val="28"/>
          <w:szCs w:val="28"/>
          <w:highlight w:val="none"/>
        </w:rPr>
        <w:t>身份证明书</w:t>
      </w:r>
      <w:r>
        <w:rPr>
          <w:rFonts w:hint="eastAsia" w:ascii="仿宋_GB2312" w:hAnsi="仿宋_GB2312" w:eastAsia="仿宋_GB2312" w:cs="仿宋_GB2312"/>
          <w:bCs/>
          <w:color w:val="auto"/>
          <w:sz w:val="28"/>
          <w:szCs w:val="28"/>
          <w:highlight w:val="none"/>
        </w:rPr>
        <w:t>和身份证原件或委托代理人凭法定代表人/负责人授权委托书原件和身份证原件）依时到达指定地点等候当面磋商。</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十、业务咨询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广西南博国际信息有限公司</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联系人：李先生</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联系电话：0771-5519058</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地址：广西南宁市民族大道106号南宁国际会展中心行政综合楼北302室</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邮编：530021</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十一、监督与投诉</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广西国际博览集团有限公司经营管理部</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联系人：周虹，联系电话：0771-2212640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地址：南宁市青秀区会展路18号会展大厦11楼，邮编：530000</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十二、网上公告媒体查询</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广西国际博览集团有限公司官方网（http://www.gxexpogp.cn）</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2" w:firstLineChars="200"/>
        <w:jc w:val="left"/>
        <w:textAlignment w:val="auto"/>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十三、公告期限</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ind w:firstLine="560" w:firstLineChars="200"/>
        <w:jc w:val="lef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本招标公告期限为自发布之日起3个工作日。</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i/>
          <w:i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i/>
          <w:iCs/>
          <w:color w:val="auto"/>
          <w:sz w:val="28"/>
          <w:szCs w:val="28"/>
          <w:highlight w:val="none"/>
        </w:rPr>
      </w:pP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right"/>
        <w:textAlignment w:val="auto"/>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广西南博国际信息有限公司</w:t>
      </w:r>
    </w:p>
    <w:p>
      <w:pPr>
        <w:keepNext w:val="0"/>
        <w:keepLines w:val="0"/>
        <w:pageBreakBefore w:val="0"/>
        <w:widowControl w:val="0"/>
        <w:shd w:val="clear"/>
        <w:tabs>
          <w:tab w:val="left" w:pos="632"/>
        </w:tabs>
        <w:kinsoku/>
        <w:wordWrap/>
        <w:overflowPunct/>
        <w:topLinePunct w:val="0"/>
        <w:autoSpaceDE/>
        <w:autoSpaceDN/>
        <w:bidi w:val="0"/>
        <w:adjustRightInd/>
        <w:snapToGrid w:val="0"/>
        <w:spacing w:line="600" w:lineRule="exact"/>
        <w:jc w:val="center"/>
        <w:textAlignment w:val="auto"/>
        <w:rPr>
          <w:rFonts w:hint="eastAsia" w:ascii="仿宋_GB2312" w:hAnsi="仿宋_GB2312" w:eastAsia="仿宋_GB2312" w:cs="仿宋_GB2312"/>
          <w:bCs/>
          <w:i/>
          <w:iCs/>
          <w:color w:val="auto"/>
          <w:sz w:val="28"/>
          <w:szCs w:val="28"/>
          <w:highlight w:val="none"/>
        </w:rPr>
      </w:pPr>
      <w:r>
        <w:rPr>
          <w:rFonts w:hint="eastAsia" w:ascii="仿宋_GB2312" w:hAnsi="仿宋_GB2312" w:eastAsia="仿宋_GB2312" w:cs="仿宋_GB2312"/>
          <w:bCs/>
          <w:i/>
          <w:iCs/>
          <w:color w:val="auto"/>
          <w:sz w:val="28"/>
          <w:szCs w:val="28"/>
          <w:highlight w:val="none"/>
        </w:rPr>
        <w:t xml:space="preserve">                                  </w:t>
      </w:r>
      <w:r>
        <w:rPr>
          <w:rFonts w:hint="eastAsia" w:ascii="仿宋_GB2312" w:hAnsi="仿宋_GB2312" w:eastAsia="仿宋_GB2312" w:cs="仿宋_GB2312"/>
          <w:bCs/>
          <w:color w:val="auto"/>
          <w:sz w:val="28"/>
          <w:szCs w:val="28"/>
          <w:highlight w:val="none"/>
        </w:rPr>
        <w:t xml:space="preserve">  2021年</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2</w:t>
      </w:r>
      <w:r>
        <w:rPr>
          <w:rFonts w:hint="eastAsia" w:ascii="仿宋_GB2312" w:hAnsi="仿宋_GB2312" w:eastAsia="仿宋_GB2312" w:cs="仿宋_GB2312"/>
          <w:bCs/>
          <w:color w:val="auto"/>
          <w:sz w:val="28"/>
          <w:szCs w:val="28"/>
          <w:highlight w:val="none"/>
        </w:rPr>
        <w:t>月</w:t>
      </w:r>
      <w:r>
        <w:rPr>
          <w:rFonts w:hint="eastAsia" w:ascii="仿宋_GB2312" w:hAnsi="仿宋_GB2312" w:eastAsia="仿宋_GB2312" w:cs="仿宋_GB2312"/>
          <w:bCs/>
          <w:color w:val="auto"/>
          <w:sz w:val="28"/>
          <w:szCs w:val="28"/>
          <w:highlight w:val="none"/>
          <w:lang w:eastAsia="zh-CN"/>
        </w:rPr>
        <w:t>1</w:t>
      </w:r>
      <w:r>
        <w:rPr>
          <w:rFonts w:hint="eastAsia" w:ascii="仿宋_GB2312" w:hAnsi="仿宋_GB2312" w:eastAsia="仿宋_GB2312" w:cs="仿宋_GB2312"/>
          <w:bCs/>
          <w:color w:val="auto"/>
          <w:sz w:val="28"/>
          <w:szCs w:val="28"/>
          <w:highlight w:val="none"/>
          <w:lang w:val="en-US" w:eastAsia="zh-CN"/>
        </w:rPr>
        <w:t>6</w:t>
      </w:r>
      <w:r>
        <w:rPr>
          <w:rFonts w:hint="eastAsia" w:ascii="仿宋_GB2312" w:hAnsi="仿宋_GB2312" w:eastAsia="仿宋_GB2312" w:cs="仿宋_GB2312"/>
          <w:bCs/>
          <w:color w:val="auto"/>
          <w:sz w:val="28"/>
          <w:szCs w:val="28"/>
          <w:highlight w:val="none"/>
        </w:rPr>
        <w:t>日</w:t>
      </w:r>
    </w:p>
    <w:p>
      <w:pPr>
        <w:rPr>
          <w:rFonts w:hint="eastAsia"/>
          <w:color w:val="auto"/>
          <w:highlight w:val="none"/>
        </w:rPr>
      </w:pPr>
      <w:bookmarkStart w:id="3" w:name="_Toc15560"/>
      <w:bookmarkStart w:id="4" w:name="_Toc13647"/>
      <w:r>
        <w:rPr>
          <w:b/>
          <w:bCs/>
          <w:color w:val="auto"/>
          <w:sz w:val="36"/>
          <w:szCs w:val="36"/>
          <w:highlight w:val="none"/>
        </w:rPr>
        <w:br w:type="page"/>
      </w:r>
    </w:p>
    <w:p>
      <w:pPr>
        <w:tabs>
          <w:tab w:val="left" w:pos="632"/>
        </w:tabs>
        <w:jc w:val="center"/>
        <w:outlineLvl w:val="0"/>
        <w:rPr>
          <w:rFonts w:hint="eastAsia" w:eastAsia="华文中宋"/>
          <w:color w:val="auto"/>
          <w:sz w:val="32"/>
          <w:szCs w:val="32"/>
          <w:highlight w:val="none"/>
        </w:rPr>
      </w:pPr>
      <w:r>
        <w:rPr>
          <w:rFonts w:hint="eastAsia" w:eastAsia="华文中宋"/>
          <w:color w:val="auto"/>
          <w:sz w:val="32"/>
          <w:szCs w:val="32"/>
          <w:highlight w:val="none"/>
        </w:rPr>
        <w:t>第二章 项目</w:t>
      </w:r>
      <w:r>
        <w:rPr>
          <w:rFonts w:eastAsia="华文中宋"/>
          <w:color w:val="auto"/>
          <w:sz w:val="32"/>
          <w:szCs w:val="32"/>
          <w:highlight w:val="none"/>
        </w:rPr>
        <w:t>服务</w:t>
      </w:r>
      <w:r>
        <w:rPr>
          <w:rFonts w:hint="eastAsia" w:eastAsia="华文中宋"/>
          <w:color w:val="auto"/>
          <w:sz w:val="32"/>
          <w:szCs w:val="32"/>
          <w:highlight w:val="none"/>
        </w:rPr>
        <w:t>要求</w:t>
      </w:r>
      <w:bookmarkEnd w:id="3"/>
    </w:p>
    <w:p>
      <w:pPr>
        <w:pStyle w:val="11"/>
        <w:spacing w:line="600" w:lineRule="exact"/>
        <w:ind w:firstLine="0" w:firstLineChars="0"/>
        <w:rPr>
          <w:rFonts w:hint="eastAsia" w:ascii="仿宋_GB2312" w:hAnsi="仿宋_GB2312" w:eastAsia="仿宋_GB2312" w:cs="仿宋_GB2312"/>
          <w:b w:val="0"/>
          <w:caps w:val="0"/>
          <w:color w:val="auto"/>
          <w:sz w:val="28"/>
          <w:szCs w:val="28"/>
          <w:highlight w:val="none"/>
        </w:rPr>
      </w:pPr>
      <w:r>
        <w:rPr>
          <w:rFonts w:hint="eastAsia" w:ascii="仿宋_GB2312" w:hAnsi="仿宋_GB2312" w:eastAsia="仿宋_GB2312" w:cs="仿宋_GB2312"/>
          <w:b w:val="0"/>
          <w:caps w:val="0"/>
          <w:color w:val="auto"/>
          <w:sz w:val="28"/>
          <w:szCs w:val="28"/>
          <w:highlight w:val="none"/>
        </w:rPr>
        <w:t>说明：</w:t>
      </w:r>
    </w:p>
    <w:p>
      <w:pPr>
        <w:tabs>
          <w:tab w:val="left" w:pos="632"/>
        </w:tabs>
        <w:spacing w:line="600" w:lineRule="exact"/>
        <w:ind w:firstLine="57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1.投标人应对投标内容所涉及的专利承担法律责任，并负责保护业主的利益不受任何损害。一切由于文字、商标、技术和软件专利授权引起的法律裁决、诉讼和赔偿费用均由中标人负责。同时，具有产品专利的投标人应在其投标文件中提供与其自有产品专利相关的有效证明材料，否则，不能就其产品的专利在本项目投标过程中被侵权问题而提出异议。</w:t>
      </w:r>
    </w:p>
    <w:p>
      <w:pPr>
        <w:tabs>
          <w:tab w:val="left" w:pos="632"/>
        </w:tabs>
        <w:spacing w:line="600" w:lineRule="exact"/>
        <w:ind w:firstLine="570"/>
        <w:jc w:val="left"/>
        <w:rPr>
          <w:rFonts w:hint="eastAsia" w:ascii="仿宋_GB2312" w:hAnsi="仿宋_GB2312" w:eastAsia="仿宋_GB2312" w:cs="仿宋_GB2312"/>
          <w:bCs/>
          <w:color w:val="auto"/>
          <w:sz w:val="28"/>
          <w:szCs w:val="28"/>
          <w:highlight w:val="none"/>
        </w:rPr>
      </w:pPr>
      <w:r>
        <w:rPr>
          <w:rFonts w:hint="eastAsia" w:ascii="仿宋_GB2312" w:hAnsi="仿宋_GB2312" w:eastAsia="仿宋_GB2312" w:cs="仿宋_GB2312"/>
          <w:bCs/>
          <w:color w:val="auto"/>
          <w:sz w:val="28"/>
          <w:szCs w:val="28"/>
          <w:highlight w:val="none"/>
        </w:rPr>
        <w:t>2.投标人投标文件中提供的证明材料和资质文件应真实，如出现虚假应标情况，投标人除了应接受有关部门的处罚外，还应依据《中华人民共和国合同法》的相关条款来确定赔偿金额。</w:t>
      </w:r>
    </w:p>
    <w:p>
      <w:pPr>
        <w:tabs>
          <w:tab w:val="left" w:pos="632"/>
        </w:tabs>
        <w:spacing w:line="600" w:lineRule="exact"/>
        <w:jc w:val="center"/>
        <w:rPr>
          <w:rFonts w:hint="eastAsia" w:ascii="仿宋_GB2312" w:hAnsi="仿宋_GB2312" w:eastAsia="仿宋_GB2312" w:cs="仿宋_GB2312"/>
          <w:b/>
          <w:color w:val="auto"/>
          <w:sz w:val="28"/>
          <w:szCs w:val="28"/>
          <w:highlight w:val="none"/>
        </w:rPr>
      </w:pPr>
      <w:r>
        <w:rPr>
          <w:rFonts w:hint="eastAsia" w:ascii="仿宋_GB2312" w:hAnsi="仿宋_GB2312" w:eastAsia="仿宋_GB2312" w:cs="仿宋_GB2312"/>
          <w:b/>
          <w:color w:val="auto"/>
          <w:sz w:val="28"/>
          <w:szCs w:val="28"/>
          <w:highlight w:val="none"/>
        </w:rPr>
        <w:t>项目服务需求表</w:t>
      </w:r>
    </w:p>
    <w:tbl>
      <w:tblPr>
        <w:tblStyle w:val="14"/>
        <w:tblW w:w="8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031"/>
        <w:gridCol w:w="579"/>
        <w:gridCol w:w="513"/>
        <w:gridCol w:w="6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 w:hRule="atLeast"/>
          <w:tblHeader/>
          <w:jc w:val="center"/>
        </w:trPr>
        <w:tc>
          <w:tcPr>
            <w:tcW w:w="73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项号</w:t>
            </w:r>
          </w:p>
        </w:tc>
        <w:tc>
          <w:tcPr>
            <w:tcW w:w="103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服务名称</w:t>
            </w:r>
          </w:p>
        </w:tc>
        <w:tc>
          <w:tcPr>
            <w:tcW w:w="57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数量</w:t>
            </w:r>
          </w:p>
        </w:tc>
        <w:tc>
          <w:tcPr>
            <w:tcW w:w="51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单位</w:t>
            </w:r>
          </w:p>
        </w:tc>
        <w:tc>
          <w:tcPr>
            <w:tcW w:w="6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60" w:lineRule="auto"/>
              <w:ind w:left="0" w:right="0"/>
              <w:jc w:val="center"/>
              <w:rPr>
                <w:rFonts w:hint="default"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服务内容及要求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32"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1031"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呼叫中心系统服务</w:t>
            </w:r>
          </w:p>
        </w:tc>
        <w:tc>
          <w:tcPr>
            <w:tcW w:w="579"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套</w:t>
            </w:r>
          </w:p>
        </w:tc>
        <w:tc>
          <w:tcPr>
            <w:tcW w:w="6096" w:type="dxa"/>
            <w:tcBorders>
              <w:top w:val="single" w:color="auto" w:sz="4" w:space="0"/>
              <w:left w:val="single" w:color="auto" w:sz="4" w:space="0"/>
              <w:bottom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★一、系统授权要求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1.中标人需授权采购方12个系统坐席账号，所提供的账号需为全渠道客服（含呼叫客服+在线客服+工单客服）；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2.通讯费用（含外呼话费和短信费）按实际使用量收费，按月度或季度结算；</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3.不限制甲方使用系统承接多个项目，支持接入多路号码。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二、系统主要功能指标</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★1.IVR导航，自定义规则，来电分发有条不紊；</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2.智能路由，VIP/区域等多种，路由策略分配；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3.来电弹屏，客户精准识别，画像数据全面呈现；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4.呼叫Bar，支持转接、三方通话等，多种来电处理办法；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5.任务管理，销售数据一键批量导入导出，自定义分配至坐席；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6.联系计划，根据客户画像及历史记录，自定义客户联系计划；</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★7.质检与监控，可灵活设置质检规则，对在线客服和呼叫客服实时检控服务质量；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数据统计报表，提供多维度可导出的数据统计报表（含会话、在线客服、满意度评价、工单、客服工作量、工单分类、机器人回答量、维护工作量、呼入/呼出、通话报表、坐席和通话记录等数据统计），全面掌控整体运营状况；</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★9.工单客服，可自定义客服工单字段、模板和分类，流转、定时触发器，配合工单系统，调动其他版块资源协同处理；</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10.短信，自定义触发or通发，业务辅助or主动营销，三网融达；</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★11.知识库，同一平台客服知识库，呼叫实时快捷查看；单轮/多轮知识库问答管理及机器人智能学习；自定义词库与内部知识库的管理和查询；</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12.客户中心，小型CRM系统，客户信息一体化；可按照客户列表和公司列表分类导出客户数据；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13.支持多种渠道接入（含桌面网站、移动网站、APP、微信、微博和微信小程序等第三方平台）；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★14.机器人，可进行智能优化策略、关键词屏蔽和机器人转人工关键词设置等；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15.可进行在线和呼叫中心设置。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三、技术指标要求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★1.在线机器人客服（自带10万条机器人业务问答量）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（1）中标单位提供在线机器人知识库搭建服务，将采购方梳理的客服问题及答案，形成系统知识库；</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（2）要求提供词条量1500以内的常规知识库，超过1500条的每增加500条新增费用不超2千元人民币；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（3）话术场景调优；</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（4）支持第三方接口。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★2.呼叫中心组件（含工单客服）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（1）创建呼叫，能够进行呼叫监听、强插、强拆、支持三方通话、支持会议；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（2）支持线路部署方式包括中继线、实体电话线、云总机号码；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（3）支持智能路由：支持地域路由及VIP客户路由；</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 xml:space="preserve"> (4) 支持定制IVR；</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（5）提供通讯能力，保证通话清晰稳定；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（6）呼叫并发支持5000 CPS；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（7）座席数支持20000以上。</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★3.在线客服组件（含工单客服）</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（1）提供用户咨询入口、管理整个用户咨询的过程；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（2）收集用户咨询过程数据；</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（3）用于用户接入组件提供技术服务；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（7）技术约束：java、tomcat、kafka、redis等均可。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★4.工单组件</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（1）支持根据不同业务流程自定义工单模板、自定义字段、自定义报表；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（2）支持自动分配流转，根据业务定制需求；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（3）支持组合表单；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（4）支持邮件转工单。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5.用户中心</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（1）管理用户列表；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（2）管理公司列表；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（3）新建用户、筛选用户信息、新建公司、批量导入导出公司、用户信息；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★6.数据报表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（1）对数据统计结果的展示；</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（2）报表包含：会话报表、工单报表、通话报表、满意度报表、知识管理员工作量报表、访问统计报表等；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（3）数据处理延迟小于8s。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★7.数据统计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（1）对业务运行产生数据做分类统计；统计内容包含：会话统计、工作量统计、访问统计、满意度统计、质检统计、热点业务问题统计、座席统计、工单统计等；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（2）单个报表平均响应时间小于2s，最高不超过5s；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（5）技术约束：scala、spark、kafka、mysql等均可。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8.开放接口平台</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（1）要求针对智能交互功能、知识库等功能提供标准restful接口；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（2）平均响应时间小于2s；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（3）支持集群部署；</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（4）SLA:99.5%；</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（5）技术约束：java EE、JWT、tomcat等均可。</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★9.用户端接入组件</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（1）提供用户端接入要求：web、H5、微信（原生+H5）、微博、sdk、微信企业号、小程序；</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（2）SDK崩溃率小于0.02%；</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（3）平均响应时间小于0.5ms；</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（4）技术约束：java、object c、swift、h5、javascript、css等均可。</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★四、系统功能清单如下：</w:t>
            </w:r>
          </w:p>
          <w:tbl>
            <w:tblPr>
              <w:tblStyle w:val="14"/>
              <w:tblW w:w="5814" w:type="dxa"/>
              <w:jc w:val="center"/>
              <w:tblLayout w:type="fixed"/>
              <w:tblCellMar>
                <w:top w:w="0" w:type="dxa"/>
                <w:left w:w="0" w:type="dxa"/>
                <w:bottom w:w="0" w:type="dxa"/>
                <w:right w:w="0" w:type="dxa"/>
              </w:tblCellMar>
            </w:tblPr>
            <w:tblGrid>
              <w:gridCol w:w="1167"/>
              <w:gridCol w:w="1597"/>
              <w:gridCol w:w="1597"/>
              <w:gridCol w:w="1453"/>
            </w:tblGrid>
            <w:tr>
              <w:tblPrEx>
                <w:tblCellMar>
                  <w:top w:w="0" w:type="dxa"/>
                  <w:left w:w="0" w:type="dxa"/>
                  <w:bottom w:w="0" w:type="dxa"/>
                  <w:right w:w="0" w:type="dxa"/>
                </w:tblCellMar>
              </w:tblPrEx>
              <w:trPr>
                <w:trHeight w:val="265" w:hRule="atLeast"/>
                <w:jc w:val="center"/>
              </w:trPr>
              <w:tc>
                <w:tcPr>
                  <w:tcW w:w="5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362"/>
                    </w:tabs>
                    <w:spacing w:before="0" w:beforeAutospacing="0" w:after="0" w:afterAutospacing="0"/>
                    <w:ind w:left="0" w:right="0"/>
                    <w:textAlignment w:val="center"/>
                    <w:rPr>
                      <w:rFonts w:hint="eastAsia" w:ascii="仿宋_GB2312" w:hAnsi="仿宋_GB2312" w:eastAsia="仿宋_GB2312" w:cs="仿宋_GB2312"/>
                      <w:b/>
                      <w:color w:val="auto"/>
                      <w:kern w:val="0"/>
                      <w:sz w:val="24"/>
                      <w:highlight w:val="none"/>
                      <w:lang w:bidi="ar"/>
                    </w:rPr>
                  </w:pPr>
                  <w:r>
                    <w:rPr>
                      <w:rFonts w:hint="eastAsia" w:ascii="仿宋_GB2312" w:hAnsi="仿宋_GB2312" w:eastAsia="仿宋_GB2312" w:cs="仿宋_GB2312"/>
                      <w:b/>
                      <w:color w:val="auto"/>
                      <w:kern w:val="0"/>
                      <w:sz w:val="24"/>
                      <w:highlight w:val="none"/>
                      <w:lang w:bidi="ar"/>
                    </w:rPr>
                    <w:t>1.呼叫系统主账号界面功能清单</w:t>
                  </w:r>
                </w:p>
              </w:tc>
            </w:tr>
            <w:tr>
              <w:tblPrEx>
                <w:tblCellMar>
                  <w:top w:w="0" w:type="dxa"/>
                  <w:left w:w="0" w:type="dxa"/>
                  <w:bottom w:w="0" w:type="dxa"/>
                  <w:right w:w="0" w:type="dxa"/>
                </w:tblCellMar>
              </w:tblPrEx>
              <w:trPr>
                <w:trHeight w:val="209" w:hRule="atLeast"/>
                <w:jc w:val="center"/>
              </w:trPr>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一级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二级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三级</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lang w:bidi="ar"/>
                    </w:rPr>
                    <w:t>四级</w:t>
                  </w: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首页</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我的工单</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我的接待</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在线监控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电话坐席监控</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工单查询</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我的</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待处理的工单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我创建的工单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我解决的工单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SLA服务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大于24小时未分配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大于48小时未解决</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知识库</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单轮问题管理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多轮问题管理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智能学习</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未知问题学习</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管理设置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接口管理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属性设置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属性类别管理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自定义词库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寒暄问题</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同义词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专业名词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内部知识库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知识管理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客户中心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客户列表 </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 xml:space="preserve">公司列表 </w:t>
                  </w:r>
                </w:p>
              </w:tc>
              <w:tc>
                <w:tcPr>
                  <w:tcW w:w="159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统计</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满意度评价统计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工单统计概览</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客服工作量</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工单分类统计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机器人回答统计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维护工作量</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客户反馈</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呼叫中心客服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通话报表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坐席统计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通话记录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满意度统计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呼入统计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呼出统计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质检</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会话质检</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会话质检结果</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在线客服质检报表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呼叫客服</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通话质检</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呼叫客服得分</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通话质检记录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系统设置</w:t>
                  </w: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功能设置</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上下班时间设置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自定义字段</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客服状态自定义</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支持渠道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桌面网站</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移动网站</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APP</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微信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微博</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企业微信</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微信小程序</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第三方平台</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机器人信息</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智能优化策略</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关键词屏蔽</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转人工关键词设置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客服工作台设置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在线客服分配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会话自动应答</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询前表单设置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留言设置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在线质检评分方案设定</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人工满意度评价设置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会话报警设置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敏感词设置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电销技能组设置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坐席号码设置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通话设置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呼叫质检评分方案设定</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IVR设置</w:t>
                  </w: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基础设置</w:t>
                  </w: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IVR流程设置</w:t>
                  </w: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45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自定义语音库</w:t>
                  </w: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工单技能组设置</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工单自定义字段</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工单自定义模板</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工单自定义分类</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流转触发器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定时触发器</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工单处理时效（SLA）</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客服管理</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组织架构</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310" w:hRule="atLeast"/>
                <w:jc w:val="center"/>
              </w:trPr>
              <w:tc>
                <w:tcPr>
                  <w:tcW w:w="581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kern w:val="0"/>
                      <w:sz w:val="24"/>
                      <w:highlight w:val="none"/>
                      <w:lang w:bidi="ar"/>
                    </w:rPr>
                    <w:t>2.呼叫系统客服账号界面功能清单</w:t>
                  </w: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首页</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我的工单</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我的接待</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我的通话</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工单中心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工单查询</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自定义查询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待处理的工单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我处理的工单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我创建的工单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我解决的工单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SLA服务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大于24小时未分配</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大于48小时未解决</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内部知识库</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知识查询</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呼叫中心</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通话记录</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联系计划</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kern w:val="0"/>
                      <w:sz w:val="24"/>
                      <w:highlight w:val="none"/>
                      <w:lang w:bidi="ar"/>
                    </w:rPr>
                  </w:pP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r>
              <w:tblPrEx>
                <w:tblCellMar>
                  <w:top w:w="0" w:type="dxa"/>
                  <w:left w:w="0" w:type="dxa"/>
                  <w:bottom w:w="0" w:type="dxa"/>
                  <w:right w:w="0" w:type="dxa"/>
                </w:tblCellMar>
              </w:tblPrEx>
              <w:trPr>
                <w:trHeight w:val="209" w:hRule="atLeast"/>
                <w:jc w:val="center"/>
              </w:trPr>
              <w:tc>
                <w:tcPr>
                  <w:tcW w:w="116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kern w:val="0"/>
                      <w:sz w:val="24"/>
                      <w:highlight w:val="none"/>
                      <w:lang w:bidi="ar"/>
                    </w:rPr>
                    <w:t>短信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单发短信</w:t>
                  </w:r>
                </w:p>
              </w:tc>
              <w:tc>
                <w:tcPr>
                  <w:tcW w:w="159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_GB2312" w:hAnsi="仿宋_GB2312" w:eastAsia="仿宋_GB2312" w:cs="仿宋_GB2312"/>
                      <w:color w:val="auto"/>
                      <w:kern w:val="0"/>
                      <w:sz w:val="24"/>
                      <w:highlight w:val="none"/>
                      <w:lang w:bidi="ar"/>
                    </w:rPr>
                  </w:pPr>
                  <w:r>
                    <w:rPr>
                      <w:rFonts w:hint="eastAsia" w:ascii="仿宋_GB2312" w:hAnsi="仿宋_GB2312" w:eastAsia="仿宋_GB2312" w:cs="仿宋_GB2312"/>
                      <w:color w:val="auto"/>
                      <w:kern w:val="0"/>
                      <w:sz w:val="24"/>
                      <w:highlight w:val="none"/>
                      <w:lang w:bidi="ar"/>
                    </w:rPr>
                    <w:t>我的短信记录</w:t>
                  </w:r>
                </w:p>
              </w:tc>
              <w:tc>
                <w:tcPr>
                  <w:tcW w:w="145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p>
              </w:tc>
            </w:tr>
          </w:tbl>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732"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w:t>
            </w:r>
          </w:p>
        </w:tc>
        <w:tc>
          <w:tcPr>
            <w:tcW w:w="1031"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宋体" w:hAnsi="宋体" w:cs="宋体"/>
                <w:color w:val="auto"/>
                <w:sz w:val="22"/>
                <w:szCs w:val="22"/>
                <w:highlight w:val="none"/>
              </w:rPr>
            </w:pPr>
            <w:r>
              <w:rPr>
                <w:rFonts w:hint="eastAsia" w:ascii="仿宋_GB2312" w:hAnsi="仿宋_GB2312" w:eastAsia="仿宋_GB2312" w:cs="仿宋_GB2312"/>
                <w:color w:val="auto"/>
                <w:sz w:val="24"/>
                <w:highlight w:val="none"/>
              </w:rPr>
              <w:t>驻场客服服务</w:t>
            </w:r>
          </w:p>
        </w:tc>
        <w:tc>
          <w:tcPr>
            <w:tcW w:w="579" w:type="dxa"/>
            <w:vMerge w:val="restart"/>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vMerge w:val="restart"/>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w:t>
            </w:r>
          </w:p>
        </w:tc>
        <w:tc>
          <w:tcPr>
            <w:tcW w:w="6096" w:type="dxa"/>
            <w:tcBorders>
              <w:top w:val="single" w:color="auto" w:sz="4" w:space="0"/>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★一、中英双语客服1人，服务期限1年，要求如下：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1.工作地点在南宁市区内,具体地点由采购方指定；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2.学历为大专及以上；</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w:t>
            </w:r>
            <w:r>
              <w:rPr>
                <w:rFonts w:hint="default" w:ascii="仿宋_GB2312" w:hAnsi="仿宋_GB2312" w:eastAsia="仿宋_GB2312" w:cs="仿宋_GB2312"/>
                <w:color w:val="auto"/>
                <w:sz w:val="24"/>
                <w:highlight w:val="none"/>
              </w:rPr>
              <w:t>主要从事语音和在线客服工作，同时</w:t>
            </w:r>
            <w:r>
              <w:rPr>
                <w:rFonts w:hint="eastAsia" w:ascii="仿宋_GB2312" w:hAnsi="仿宋_GB2312" w:eastAsia="仿宋_GB2312" w:cs="仿宋_GB2312"/>
                <w:color w:val="auto"/>
                <w:sz w:val="24"/>
                <w:highlight w:val="none"/>
              </w:rPr>
              <w:t>需协助高级客服人员完成培训、管理等工作。此外，需根据采购方的要求定期提供业务数据报告。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3" w:hRule="atLeast"/>
          <w:jc w:val="center"/>
        </w:trPr>
        <w:tc>
          <w:tcPr>
            <w:tcW w:w="732"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Times New Roman" w:hAnsi="Times New Roman" w:cs="Times New Roman"/>
                <w:color w:val="auto"/>
                <w:highlight w:val="none"/>
              </w:rPr>
            </w:pPr>
          </w:p>
        </w:tc>
        <w:tc>
          <w:tcPr>
            <w:tcW w:w="1031"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p>
        </w:tc>
        <w:tc>
          <w:tcPr>
            <w:tcW w:w="579"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p>
        </w:tc>
        <w:tc>
          <w:tcPr>
            <w:tcW w:w="513"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4"/>
                <w:highlight w:val="none"/>
              </w:rPr>
            </w:pPr>
          </w:p>
        </w:tc>
        <w:tc>
          <w:tcPr>
            <w:tcW w:w="6096" w:type="dxa"/>
            <w:tcBorders>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★二、会期中英双语客服2人，服务期限4个月。要求如下：</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1.工作地点在南宁市区内,具体地点由采购方指定；</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2.学历为大专及以上；</w:t>
            </w:r>
          </w:p>
          <w:p>
            <w:pPr>
              <w:keepNext w:val="0"/>
              <w:keepLines w:val="0"/>
              <w:widowControl/>
              <w:suppressLineNumbers w:val="0"/>
              <w:snapToGrid w:val="0"/>
              <w:spacing w:before="0" w:beforeAutospacing="0" w:after="0" w:afterAutospacing="0" w:line="300" w:lineRule="auto"/>
              <w:ind w:left="0" w:right="0"/>
              <w:jc w:val="left"/>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3.需根据采购方的业务需要，参与培训上岗，协助采购方建立起运营力量；非会期需按照采购方的服务标准进行工作。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2"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cs="宋体"/>
                <w:color w:val="auto"/>
                <w:sz w:val="22"/>
                <w:szCs w:val="22"/>
                <w:highlight w:val="none"/>
              </w:rPr>
            </w:pPr>
            <w:r>
              <w:rPr>
                <w:rFonts w:hint="eastAsia" w:ascii="仿宋_GB2312" w:hAnsi="仿宋_GB2312" w:eastAsia="仿宋_GB2312" w:cs="仿宋_GB2312"/>
                <w:color w:val="auto"/>
                <w:sz w:val="24"/>
                <w:highlight w:val="none"/>
                <w:lang w:bidi="ar"/>
              </w:rPr>
              <w:t>3</w:t>
            </w:r>
          </w:p>
        </w:tc>
        <w:tc>
          <w:tcPr>
            <w:tcW w:w="1031" w:type="dxa"/>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cs="宋体"/>
                <w:color w:val="auto"/>
                <w:sz w:val="22"/>
                <w:szCs w:val="22"/>
                <w:highlight w:val="none"/>
              </w:rPr>
            </w:pPr>
            <w:r>
              <w:rPr>
                <w:rFonts w:hint="eastAsia" w:ascii="仿宋_GB2312" w:hAnsi="仿宋_GB2312" w:eastAsia="仿宋_GB2312" w:cs="仿宋_GB2312"/>
                <w:color w:val="auto"/>
                <w:sz w:val="24"/>
                <w:highlight w:val="none"/>
                <w:lang w:bidi="ar"/>
              </w:rPr>
              <w:t>高级客服服务</w:t>
            </w:r>
          </w:p>
        </w:tc>
        <w:tc>
          <w:tcPr>
            <w:tcW w:w="579"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default"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项</w:t>
            </w:r>
          </w:p>
        </w:tc>
        <w:tc>
          <w:tcPr>
            <w:tcW w:w="609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★一、高级客服1人，服务期限1个月。</w:t>
            </w:r>
          </w:p>
          <w:p>
            <w:pPr>
              <w:keepNext w:val="0"/>
              <w:keepLines w:val="0"/>
              <w:widowControl/>
              <w:suppressLineNumbers w:val="0"/>
              <w:snapToGrid w:val="0"/>
              <w:spacing w:before="0" w:beforeAutospacing="0" w:after="0" w:afterAutospacing="0" w:line="300" w:lineRule="auto"/>
              <w:ind w:left="0" w:right="0"/>
              <w:jc w:val="left"/>
              <w:rPr>
                <w:rFonts w:hint="default" w:ascii="Times New Roman" w:hAnsi="Times New Roman" w:cs="Times New Roman"/>
                <w:color w:val="auto"/>
                <w:highlight w:val="none"/>
              </w:rPr>
            </w:pPr>
            <w:r>
              <w:rPr>
                <w:rFonts w:hint="eastAsia" w:ascii="仿宋_GB2312" w:hAnsi="仿宋_GB2312" w:eastAsia="仿宋_GB2312" w:cs="仿宋_GB2312"/>
                <w:bCs/>
                <w:color w:val="auto"/>
                <w:sz w:val="24"/>
                <w:highlight w:val="none"/>
              </w:rPr>
              <w:t>★二、要求</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1.高级客服人员需熟悉客服系统，具有丰富的客服管理和运营经验。</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协助采购人建立客服中心制度，包括但不限于聘管理制度、培训管理制度、员工管理制度、薪酬管理制度、员工手册、考核管理制度、考勤管理制度、奖惩管理制度、办公室行政规范管理制度、保密制度等。了解客服处理范围，协助采购人梳理并建立业务流程，包括但不限于一般工作流程、业务回复流程、疑难业务处理流程、投诉处理流程等。形成相关文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3.协助采购人熟悉知识点，整理建立知识库，形成相关文档。</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4.协助采购人建立应答话术、疑难问题话术等内容，并形成文档及知识库。</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5.协助采购人建立客服人员培训管理体系，包括业务知识培训、业务流程培训、培训考核要求等。</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6.培训采购人，包括呼叫系统操作，了解平台客服处理范围，围绕平台业务梳理及制定客服工作流程、应答参考话术等内容，提高客服工作效率、减低跨部门协调的时间成本，制定基础客服培训计划及实施周期。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jc w:val="center"/>
        </w:trPr>
        <w:tc>
          <w:tcPr>
            <w:tcW w:w="732"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lang w:bidi="ar"/>
              </w:rPr>
              <w:t>4</w:t>
            </w:r>
          </w:p>
        </w:tc>
        <w:tc>
          <w:tcPr>
            <w:tcW w:w="1031"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中继线路服务</w:t>
            </w:r>
          </w:p>
        </w:tc>
        <w:tc>
          <w:tcPr>
            <w:tcW w:w="579"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1</w:t>
            </w:r>
          </w:p>
        </w:tc>
        <w:tc>
          <w:tcPr>
            <w:tcW w:w="513"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center"/>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项</w:t>
            </w:r>
          </w:p>
        </w:tc>
        <w:tc>
          <w:tcPr>
            <w:tcW w:w="6096" w:type="dxa"/>
            <w:tcBorders>
              <w:top w:val="single" w:color="auto" w:sz="4" w:space="0"/>
              <w:left w:val="single" w:color="auto" w:sz="4" w:space="0"/>
              <w:right w:val="single" w:color="auto" w:sz="4" w:space="0"/>
            </w:tcBorders>
            <w:noWrap w:val="0"/>
            <w:vAlign w:val="top"/>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一、提供语音中继服务：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★1、提供一条2M语音中继，支持30路坐席话务并发；线路要求采用基于硬管道的sdh/mstp技术接入；</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★2、根据采购方的业务需求可接入除了东博会热线号码以外的其他号码；</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二、免费提供语音接听服务；</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三、提供语音拨打服务，按实际产生费用结算；</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四、提供短信服务，按实际产生费用结算，三网融达。</w:t>
            </w:r>
          </w:p>
          <w:p>
            <w:pPr>
              <w:keepNext w:val="0"/>
              <w:keepLines w:val="0"/>
              <w:widowControl/>
              <w:suppressLineNumbers w:val="0"/>
              <w:snapToGrid w:val="0"/>
              <w:spacing w:before="0" w:beforeAutospacing="0" w:after="0" w:afterAutospacing="0" w:line="300" w:lineRule="auto"/>
              <w:ind w:left="0" w:right="0"/>
              <w:jc w:val="left"/>
              <w:rPr>
                <w:rFonts w:hint="default" w:eastAsia="仿宋_GB2312"/>
                <w:lang w:val="en-US" w:eastAsia="zh-CN"/>
              </w:rPr>
            </w:pPr>
            <w:r>
              <w:rPr>
                <w:rFonts w:hint="eastAsia" w:ascii="仿宋_GB2312" w:hAnsi="仿宋_GB2312" w:eastAsia="仿宋_GB2312" w:cs="仿宋_GB2312"/>
                <w:bCs/>
                <w:color w:val="auto"/>
                <w:sz w:val="24"/>
                <w:highlight w:val="yellow"/>
                <w:lang w:val="en-US" w:eastAsia="zh-CN"/>
              </w:rPr>
              <w:t>五、提供固定电话号码一个。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jc w:val="center"/>
        </w:trPr>
        <w:tc>
          <w:tcPr>
            <w:tcW w:w="8951" w:type="dxa"/>
            <w:gridSpan w:val="5"/>
            <w:tcBorders>
              <w:left w:val="single" w:color="auto" w:sz="4" w:space="0"/>
              <w:right w:val="single" w:color="auto" w:sz="4" w:space="0"/>
            </w:tcBorders>
            <w:noWrap w:val="0"/>
            <w:vAlign w:val="center"/>
          </w:tcPr>
          <w:p>
            <w:pPr>
              <w:pStyle w:val="2"/>
              <w:keepNext w:val="0"/>
              <w:keepLines w:val="0"/>
              <w:suppressLineNumbers w:val="0"/>
              <w:snapToGrid w:val="0"/>
              <w:spacing w:before="0" w:beforeAutospacing="0" w:afterAutospacing="0" w:line="300" w:lineRule="auto"/>
              <w:ind w:left="0" w:right="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bCs/>
                <w:color w:val="auto"/>
                <w:sz w:val="24"/>
                <w:highlight w:val="none"/>
              </w:rPr>
              <w:t>商务要求（不满足商务要求的竞标无效）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32"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服务期限及地点</w:t>
            </w:r>
          </w:p>
        </w:tc>
        <w:tc>
          <w:tcPr>
            <w:tcW w:w="8219" w:type="dxa"/>
            <w:gridSpan w:val="4"/>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一、合同签订期：自中标通知书发出之日起10个工作日内。</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二、服务期限：服务期限为自合同签订之日起壹年。</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三、服务地点：采购方指定地点。</w:t>
            </w:r>
          </w:p>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lang w:val="en-US" w:eastAsia="zh-CN"/>
              </w:rPr>
            </w:pPr>
            <w:r>
              <w:rPr>
                <w:rFonts w:hint="eastAsia" w:ascii="仿宋_GB2312" w:hAnsi="仿宋_GB2312" w:eastAsia="仿宋_GB2312" w:cs="仿宋_GB2312"/>
                <w:bCs/>
                <w:color w:val="auto"/>
                <w:sz w:val="24"/>
                <w:highlight w:val="yellow"/>
                <w:lang w:val="en-US" w:eastAsia="zh-CN"/>
              </w:rPr>
              <w:t>四、服务成果提交时间：自合同签订之日起20天内。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2"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付款方式</w:t>
            </w:r>
          </w:p>
        </w:tc>
        <w:tc>
          <w:tcPr>
            <w:tcW w:w="8219" w:type="dxa"/>
            <w:gridSpan w:val="4"/>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付款方式：采购方按合同约定支付合同款。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jc w:val="center"/>
        </w:trPr>
        <w:tc>
          <w:tcPr>
            <w:tcW w:w="732"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保密要求</w:t>
            </w:r>
          </w:p>
        </w:tc>
        <w:tc>
          <w:tcPr>
            <w:tcW w:w="8219" w:type="dxa"/>
            <w:gridSpan w:val="4"/>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供应商应对采购方提供的所有资料（文字、图纸、电子数据）等商业机密保密，不得向第三方泄露任何关于项目采购方提供的资料及项目情况。如发生以上情况并给采购方造成损失的，采购方保留依据法律向供应商索赔的权利，供应商应承担相关的法律责任及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59" w:hRule="atLeast"/>
          <w:jc w:val="center"/>
        </w:trPr>
        <w:tc>
          <w:tcPr>
            <w:tcW w:w="732" w:type="dxa"/>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其他要求</w:t>
            </w:r>
          </w:p>
        </w:tc>
        <w:tc>
          <w:tcPr>
            <w:tcW w:w="8219" w:type="dxa"/>
            <w:gridSpan w:val="4"/>
            <w:tcBorders>
              <w:left w:val="single" w:color="auto" w:sz="4" w:space="0"/>
              <w:right w:val="single" w:color="auto" w:sz="4" w:space="0"/>
            </w:tcBorders>
            <w:noWrap w:val="0"/>
            <w:vAlign w:val="center"/>
          </w:tcPr>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一、本项目为服务成果整体交付应用项目，按服务总价包干，采购方不对项目达到成果水平报的服务、货物、施工等一切内容追加支付费用，而由中标供应商在合同价内全部提供或解决。</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包括：</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（1）服务的价格；</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（2）相关标准附件、备品备件、专用工具的价格；</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（3）运输、装卸、调试、培训、技术支持、现场服务等费用；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（4）必要的保险费用和各项税费；</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（5）包括安装费用；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（6）验收的费用。</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二、协助采购方建立相应的客服热线管理制度及执行管理办法。</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szCs w:val="24"/>
                <w:highlight w:val="none"/>
              </w:rPr>
              <w:t>★</w:t>
            </w:r>
            <w:r>
              <w:rPr>
                <w:rFonts w:hint="eastAsia" w:ascii="仿宋_GB2312" w:hAnsi="仿宋_GB2312" w:eastAsia="仿宋_GB2312" w:cs="仿宋_GB2312"/>
                <w:bCs/>
                <w:color w:val="auto"/>
                <w:sz w:val="24"/>
                <w:highlight w:val="none"/>
              </w:rPr>
              <w:t>三、在本项目合同到期时，中标方应保持呼叫系统及线路号码不低于3个月畅通状态，以便有足够时间完成下一阶段合同手续。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四、提供不少于3场客服业务培训。</w:t>
            </w:r>
          </w:p>
          <w:p>
            <w:pPr>
              <w:keepNext w:val="0"/>
              <w:keepLines w:val="0"/>
              <w:widowControl/>
              <w:suppressLineNumbers w:val="0"/>
              <w:snapToGrid w:val="0"/>
              <w:spacing w:before="0" w:beforeAutospacing="0" w:after="0" w:afterAutospacing="0" w:line="300" w:lineRule="auto"/>
              <w:ind w:left="0" w:right="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五、系统出现故障及其他问题时，中标方响应时间不低于1个小时，并解决问题，到达现场响应时间不低于2个小时，并解决问题，重大故障不低于24小时解决。</w:t>
            </w:r>
          </w:p>
          <w:p>
            <w:pPr>
              <w:keepNext w:val="0"/>
              <w:keepLines w:val="0"/>
              <w:widowControl/>
              <w:suppressLineNumbers w:val="0"/>
              <w:spacing w:before="0" w:beforeAutospacing="0" w:after="0" w:afterAutospacing="0"/>
              <w:ind w:left="0" w:right="0"/>
              <w:jc w:val="left"/>
              <w:rPr>
                <w:rFonts w:hint="eastAsia" w:ascii="仿宋_GB2312" w:hAnsi="仿宋_GB2312" w:cs="仿宋_GB2312"/>
                <w:bCs/>
                <w:color w:val="auto"/>
                <w:sz w:val="24"/>
                <w:highlight w:val="none"/>
              </w:rPr>
            </w:pPr>
            <w:r>
              <w:rPr>
                <w:rFonts w:hint="eastAsia" w:ascii="仿宋_GB2312" w:hAnsi="仿宋_GB2312" w:eastAsia="仿宋_GB2312" w:cs="仿宋_GB2312"/>
                <w:bCs/>
                <w:color w:val="auto"/>
                <w:sz w:val="24"/>
                <w:highlight w:val="none"/>
              </w:rPr>
              <w:t>六、投标人要对新冠肺炎疫情影响的相关因素予以充分考虑，必须考虑不可预见、不可抗力、新冠病毒疫情的情况导致项目取消的风险，因新冠病毒疫情导致项目取消，前期所投入项目的服务成本由投标人自行承担。</w:t>
            </w:r>
          </w:p>
        </w:tc>
      </w:tr>
    </w:tbl>
    <w:p>
      <w:pPr>
        <w:rPr>
          <w:rFonts w:hint="eastAsia" w:eastAsia="华文中宋"/>
          <w:color w:val="auto"/>
          <w:sz w:val="32"/>
          <w:szCs w:val="32"/>
          <w:highlight w:val="none"/>
        </w:rPr>
      </w:pPr>
    </w:p>
    <w:p>
      <w:pPr>
        <w:jc w:val="left"/>
        <w:outlineLvl w:val="9"/>
        <w:rPr>
          <w:rFonts w:hint="eastAsia" w:eastAsia="华文中宋"/>
          <w:color w:val="auto"/>
          <w:sz w:val="32"/>
          <w:szCs w:val="32"/>
          <w:highlight w:val="none"/>
        </w:rPr>
      </w:pPr>
      <w:r>
        <w:rPr>
          <w:rFonts w:hint="eastAsia" w:eastAsia="华文中宋"/>
          <w:color w:val="auto"/>
          <w:sz w:val="32"/>
          <w:szCs w:val="32"/>
          <w:highlight w:val="none"/>
        </w:rPr>
        <w:br w:type="page"/>
      </w:r>
    </w:p>
    <w:p>
      <w:pPr>
        <w:tabs>
          <w:tab w:val="left" w:pos="632"/>
        </w:tabs>
        <w:jc w:val="center"/>
        <w:outlineLvl w:val="0"/>
        <w:rPr>
          <w:rFonts w:hint="eastAsia" w:eastAsia="华文中宋"/>
          <w:color w:val="auto"/>
          <w:sz w:val="32"/>
          <w:szCs w:val="32"/>
          <w:highlight w:val="none"/>
        </w:rPr>
      </w:pPr>
      <w:r>
        <w:rPr>
          <w:rFonts w:hint="eastAsia" w:eastAsia="华文中宋"/>
          <w:color w:val="auto"/>
          <w:sz w:val="32"/>
          <w:szCs w:val="32"/>
          <w:highlight w:val="none"/>
        </w:rPr>
        <w:t>第</w:t>
      </w:r>
      <w:r>
        <w:rPr>
          <w:rFonts w:eastAsia="华文中宋"/>
          <w:color w:val="auto"/>
          <w:sz w:val="32"/>
          <w:szCs w:val="32"/>
          <w:highlight w:val="none"/>
        </w:rPr>
        <w:t>三</w:t>
      </w:r>
      <w:r>
        <w:rPr>
          <w:rFonts w:hint="eastAsia" w:eastAsia="华文中宋"/>
          <w:color w:val="auto"/>
          <w:sz w:val="32"/>
          <w:szCs w:val="32"/>
          <w:highlight w:val="none"/>
        </w:rPr>
        <w:t>章</w:t>
      </w:r>
      <w:r>
        <w:rPr>
          <w:rFonts w:eastAsia="华文中宋"/>
          <w:color w:val="auto"/>
          <w:sz w:val="32"/>
          <w:szCs w:val="32"/>
          <w:highlight w:val="none"/>
        </w:rPr>
        <w:t xml:space="preserve">  供应商</w:t>
      </w:r>
      <w:r>
        <w:rPr>
          <w:rFonts w:hint="eastAsia" w:eastAsia="华文中宋"/>
          <w:color w:val="auto"/>
          <w:sz w:val="32"/>
          <w:szCs w:val="32"/>
          <w:highlight w:val="none"/>
        </w:rPr>
        <w:t>须知</w:t>
      </w:r>
      <w:bookmarkEnd w:id="4"/>
    </w:p>
    <w:p>
      <w:pPr>
        <w:pStyle w:val="31"/>
        <w:rPr>
          <w:color w:val="auto"/>
          <w:highlight w:val="none"/>
        </w:rPr>
      </w:pPr>
    </w:p>
    <w:p>
      <w:pPr>
        <w:tabs>
          <w:tab w:val="left" w:pos="632"/>
        </w:tabs>
        <w:jc w:val="center"/>
        <w:outlineLvl w:val="1"/>
        <w:rPr>
          <w:rFonts w:hint="eastAsia" w:eastAsia="华文中宋"/>
          <w:color w:val="auto"/>
          <w:sz w:val="28"/>
          <w:szCs w:val="28"/>
          <w:highlight w:val="none"/>
        </w:rPr>
      </w:pPr>
      <w:bookmarkStart w:id="5" w:name="_Toc6856"/>
      <w:r>
        <w:rPr>
          <w:rFonts w:eastAsia="华文中宋"/>
          <w:color w:val="auto"/>
          <w:sz w:val="28"/>
          <w:szCs w:val="28"/>
          <w:highlight w:val="none"/>
        </w:rPr>
        <w:t>供应商</w:t>
      </w:r>
      <w:r>
        <w:rPr>
          <w:rFonts w:hint="eastAsia" w:eastAsia="华文中宋"/>
          <w:color w:val="auto"/>
          <w:sz w:val="28"/>
          <w:szCs w:val="28"/>
          <w:highlight w:val="none"/>
        </w:rPr>
        <w:t>须知前附表</w:t>
      </w:r>
      <w:bookmarkEnd w:id="5"/>
    </w:p>
    <w:p>
      <w:pPr>
        <w:pStyle w:val="31"/>
        <w:rPr>
          <w:color w:val="auto"/>
          <w:highlight w:val="none"/>
        </w:rPr>
      </w:pPr>
    </w:p>
    <w:p>
      <w:pPr>
        <w:tabs>
          <w:tab w:val="left" w:pos="632"/>
          <w:tab w:val="left" w:pos="790"/>
          <w:tab w:val="left" w:pos="1580"/>
        </w:tabs>
        <w:spacing w:before="78" w:beforeLines="25" w:after="78" w:afterLines="25" w:line="440" w:lineRule="exact"/>
        <w:ind w:right="-105" w:rightChars="-50"/>
        <w:jc w:val="center"/>
        <w:rPr>
          <w:rFonts w:hint="eastAsia" w:eastAsia="仿宋_GB2312"/>
          <w:color w:val="auto"/>
          <w:sz w:val="24"/>
          <w:highlight w:val="none"/>
        </w:rPr>
      </w:pPr>
      <w:r>
        <w:rPr>
          <w:rFonts w:hint="eastAsia"/>
          <w:b/>
          <w:bCs/>
          <w:color w:val="auto"/>
          <w:sz w:val="24"/>
          <w:highlight w:val="none"/>
        </w:rPr>
        <w:t>注：</w:t>
      </w:r>
      <w:r>
        <w:rPr>
          <w:rFonts w:hint="eastAsia" w:eastAsia="仿宋_GB2312"/>
          <w:color w:val="auto"/>
          <w:sz w:val="24"/>
          <w:highlight w:val="none"/>
        </w:rPr>
        <w:t>本磋商文件请磋商供应商认真阅读，任何遗漏或疏忽都有可能导致无效标书或废标。</w:t>
      </w:r>
    </w:p>
    <w:p>
      <w:pPr>
        <w:pStyle w:val="31"/>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953"/>
        <w:gridCol w:w="6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764" w:type="dxa"/>
            <w:noWrap w:val="0"/>
            <w:vAlign w:val="center"/>
          </w:tcPr>
          <w:p>
            <w:pPr>
              <w:keepNext w:val="0"/>
              <w:keepLines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项号</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953" w:type="dxa"/>
            <w:noWrap w:val="0"/>
            <w:vAlign w:val="center"/>
          </w:tcPr>
          <w:p>
            <w:pPr>
              <w:keepNext w:val="0"/>
              <w:keepLines w:val="0"/>
              <w:suppressLineNumbers w:val="0"/>
              <w:spacing w:before="0" w:beforeAutospacing="0" w:after="0" w:afterAutospacing="0" w:line="440" w:lineRule="exact"/>
              <w:ind w:left="0" w:right="0"/>
              <w:jc w:val="center"/>
              <w:rPr>
                <w:rFonts w:hint="eastAsia"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内容</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6463" w:type="dxa"/>
            <w:noWrap w:val="0"/>
            <w:vAlign w:val="center"/>
          </w:tcPr>
          <w:p>
            <w:pPr>
              <w:keepNext w:val="0"/>
              <w:keepLines w:val="0"/>
              <w:suppressLineNumbers w:val="0"/>
              <w:spacing w:before="0" w:beforeAutospacing="0" w:after="0" w:afterAutospacing="0" w:line="440" w:lineRule="exact"/>
              <w:ind w:left="0" w:right="0"/>
              <w:jc w:val="center"/>
              <w:rPr>
                <w:rFonts w:hint="default" w:ascii="Times New Roman" w:hAnsi="Times New Roman" w:eastAsia="黑体" w:cs="Times New Roman"/>
                <w:color w:val="auto"/>
                <w:sz w:val="24"/>
                <w:highlight w:val="none"/>
              </w:rPr>
            </w:pPr>
            <w:r>
              <w:rPr>
                <w:rFonts w:hint="eastAsia" w:ascii="Times New Roman" w:hAnsi="Times New Roman" w:eastAsia="黑体" w:cs="Times New Roman"/>
                <w:color w:val="auto"/>
                <w:sz w:val="24"/>
                <w:highlight w:val="none"/>
              </w:rPr>
              <w:t>说</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明</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与</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要</w:t>
            </w:r>
            <w:r>
              <w:rPr>
                <w:rFonts w:hint="default" w:ascii="Times New Roman" w:hAnsi="Times New Roman" w:eastAsia="黑体" w:cs="Times New Roman"/>
                <w:color w:val="auto"/>
                <w:sz w:val="24"/>
                <w:highlight w:val="none"/>
              </w:rPr>
              <w:t xml:space="preserve"> </w:t>
            </w:r>
            <w:r>
              <w:rPr>
                <w:rFonts w:hint="eastAsia" w:ascii="Times New Roman" w:hAnsi="Times New Roman" w:eastAsia="黑体" w:cs="Times New Roman"/>
                <w:color w:val="auto"/>
                <w:sz w:val="24"/>
                <w:highlight w:val="none"/>
              </w:rPr>
              <w:t>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eastAsia="Times New Roman" w:cs="Times New Roman"/>
                <w:b/>
                <w:bCs/>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项目名称</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i/>
                <w:iCs/>
                <w:color w:val="auto"/>
                <w:sz w:val="24"/>
                <w:highlight w:val="none"/>
              </w:rPr>
            </w:pPr>
            <w:r>
              <w:rPr>
                <w:rFonts w:hint="eastAsia" w:ascii="仿宋_GB2312" w:hAnsi="仿宋_GB2312" w:eastAsia="仿宋_GB2312" w:cs="仿宋_GB2312"/>
                <w:bCs/>
                <w:color w:val="auto"/>
                <w:sz w:val="24"/>
                <w:highlight w:val="none"/>
              </w:rPr>
              <w:t>呼叫中心系统采购服务项目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6"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eastAsia="Times New Roman" w:cs="Times New Roman"/>
                <w:b/>
                <w:bCs/>
                <w:color w:val="auto"/>
                <w:sz w:val="24"/>
                <w:highlight w:val="none"/>
              </w:rPr>
              <w:t>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服务地点</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仿宋_GB2312" w:hAnsi="仿宋_GB2312" w:eastAsia="仿宋_GB2312" w:cs="仿宋_GB2312"/>
                <w:bCs/>
                <w:color w:val="auto"/>
                <w:sz w:val="24"/>
                <w:highlight w:val="none"/>
              </w:rPr>
              <w:t>采购方指定地点。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eastAsia="仿宋_GB2312" w:cs="Times New Roman"/>
                <w:b/>
                <w:bCs/>
                <w:color w:val="auto"/>
                <w:sz w:val="24"/>
                <w:highlight w:val="none"/>
              </w:rPr>
              <w:t>服务</w:t>
            </w:r>
            <w:r>
              <w:rPr>
                <w:rFonts w:hint="eastAsia" w:ascii="Times New Roman" w:hAnsi="Times New Roman" w:eastAsia="仿宋_GB2312" w:cs="Times New Roman"/>
                <w:b/>
                <w:bCs/>
                <w:color w:val="auto"/>
                <w:sz w:val="24"/>
                <w:highlight w:val="none"/>
              </w:rPr>
              <w:t>期限</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仿宋_GB2312" w:hAnsi="仿宋_GB2312" w:eastAsia="仿宋_GB2312" w:cs="仿宋_GB2312"/>
                <w:bCs/>
                <w:color w:val="auto"/>
                <w:sz w:val="24"/>
                <w:highlight w:val="none"/>
              </w:rPr>
              <w:t>服务期限为自合同签订之日起壹年。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服务现场</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自行踏勘</w:t>
            </w:r>
            <w:r>
              <w:rPr>
                <w:rFonts w:hint="default" w:ascii="Times New Roman" w:hAnsi="Times New Roman" w:eastAsia="仿宋_GB2312" w:cs="Times New Roman"/>
                <w:color w:val="auto"/>
                <w:sz w:val="24"/>
                <w:highlight w:val="none"/>
              </w:rPr>
              <w:t>服务</w:t>
            </w:r>
            <w:r>
              <w:rPr>
                <w:rFonts w:hint="eastAsia" w:ascii="Times New Roman" w:hAnsi="Times New Roman" w:eastAsia="仿宋_GB2312" w:cs="Times New Roman"/>
                <w:color w:val="auto"/>
                <w:sz w:val="24"/>
                <w:highlight w:val="none"/>
              </w:rPr>
              <w:t>现场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9"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5</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方案</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投标文件中提供技术方案、实施方案、</w:t>
            </w:r>
            <w:r>
              <w:rPr>
                <w:rFonts w:hint="eastAsia" w:ascii="Times New Roman" w:hAnsi="Times New Roman" w:eastAsia="仿宋_GB2312" w:cs="Times New Roman"/>
                <w:color w:val="auto"/>
                <w:sz w:val="24"/>
                <w:highlight w:val="none"/>
                <w:lang w:eastAsia="zh-CN"/>
              </w:rPr>
              <w:t>售后服务方案</w:t>
            </w:r>
            <w:r>
              <w:rPr>
                <w:rFonts w:hint="eastAsia" w:ascii="Times New Roman" w:hAnsi="Times New Roman" w:eastAsia="仿宋_GB2312" w:cs="Times New Roman"/>
                <w:color w:val="auto"/>
                <w:sz w:val="24"/>
                <w:highlight w:val="none"/>
              </w:rPr>
              <w:t>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6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6</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磋商</w:t>
            </w:r>
            <w:r>
              <w:rPr>
                <w:rFonts w:hint="default" w:ascii="Times New Roman" w:hAnsi="Times New Roman" w:eastAsia="仿宋_GB2312" w:cs="Times New Roman"/>
                <w:b/>
                <w:bCs/>
                <w:color w:val="auto"/>
                <w:sz w:val="24"/>
                <w:highlight w:val="none"/>
              </w:rPr>
              <w:t>供应商</w:t>
            </w:r>
            <w:r>
              <w:rPr>
                <w:rFonts w:hint="eastAsia" w:ascii="Times New Roman" w:hAnsi="Times New Roman" w:eastAsia="仿宋_GB2312" w:cs="Times New Roman"/>
                <w:b/>
                <w:bCs/>
                <w:color w:val="auto"/>
                <w:sz w:val="24"/>
                <w:highlight w:val="none"/>
              </w:rPr>
              <w:t>资格</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288"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1、国内注册（指按国家有关规定要求注册的），提供本次竞争性磋商采购服务，具备法人资格的供应商或其下属分支机构；</w:t>
            </w:r>
          </w:p>
          <w:p>
            <w:pPr>
              <w:keepNext w:val="0"/>
              <w:keepLines w:val="0"/>
              <w:suppressLineNumbers w:val="0"/>
              <w:spacing w:before="0" w:beforeAutospacing="0" w:after="0" w:afterAutospacing="0" w:line="288"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2、诚实守信，近三年内无违法及不良诚信记录；</w:t>
            </w:r>
          </w:p>
          <w:p>
            <w:pPr>
              <w:keepNext w:val="0"/>
              <w:keepLines w:val="0"/>
              <w:suppressLineNumbers w:val="0"/>
              <w:spacing w:before="0" w:beforeAutospacing="0" w:after="0" w:afterAutospacing="0" w:line="288"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3、对在“信用中国”网站(www.creditchina.gov.cn)、中国政府采购网(www.ccgp.gov.cn)等渠道列入失信被执行人、重大税收违法案件当事人名单、政府采购严重违法失信行为记录名单的供应商，不得参与本次招标采购活动；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suppressLineNumbers w:val="0"/>
              <w:spacing w:before="0" w:beforeAutospacing="0" w:after="0" w:afterAutospacing="0" w:line="288" w:lineRule="auto"/>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4、单位负责人为同一人或者存在直接控股、管理关系的不同投标人，不得参加同一合同项下的政府采购活动。</w:t>
            </w:r>
          </w:p>
          <w:p>
            <w:pPr>
              <w:keepNext w:val="0"/>
              <w:keepLines w:val="0"/>
              <w:suppressLineNumbers w:val="0"/>
              <w:spacing w:before="0" w:beforeAutospacing="0" w:after="0" w:afterAutospacing="0" w:line="288" w:lineRule="auto"/>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5、本项目不接受联合体竞标。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7</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结算方式</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根据项目实际据实结算。</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8</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项目预算</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31.5万元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9</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报价方式</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整体项目报价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81"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10</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磋商响应文件</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商务文件和资格证明文件合并装订，正本1份，副本2份；技术文件单独装订，正本1份，副本2份；</w:t>
            </w:r>
          </w:p>
          <w:p>
            <w:pPr>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Times New Roman" w:hAnsi="Times New Roman" w:eastAsia="仿宋_GB2312" w:cs="Times New Roman"/>
                <w:caps/>
                <w:color w:val="auto"/>
                <w:sz w:val="24"/>
                <w:highlight w:val="none"/>
              </w:rPr>
              <w:t>响应文件密封方式：响应文件盖章，纸质版装入响应文件袋（箱）中密封投递。</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3"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cs="Times New Roman"/>
                <w:color w:val="auto"/>
                <w:highlight w:val="none"/>
              </w:rPr>
            </w:pPr>
            <w:r>
              <w:rPr>
                <w:rFonts w:hint="default" w:ascii="Times New Roman" w:hAnsi="Times New Roman" w:cs="Times New Roman"/>
                <w:b/>
                <w:bCs/>
                <w:color w:val="auto"/>
                <w:sz w:val="24"/>
                <w:highlight w:val="none"/>
              </w:rPr>
              <w:t>1</w:t>
            </w:r>
            <w:r>
              <w:rPr>
                <w:rFonts w:hint="eastAsia" w:ascii="Times New Roman" w:hAnsi="Times New Roman" w:cs="Times New Roman"/>
                <w:b/>
                <w:bCs/>
                <w:color w:val="auto"/>
                <w:sz w:val="24"/>
                <w:highlight w:val="none"/>
              </w:rPr>
              <w:t>1</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磋商有效期</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从磋商响应文件提交截止之日起5日历天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default" w:ascii="Times New Roman" w:hAnsi="Times New Roman" w:cs="Times New Roman"/>
                <w:b/>
                <w:bCs/>
                <w:color w:val="auto"/>
                <w:sz w:val="24"/>
                <w:highlight w:val="none"/>
              </w:rPr>
              <w:t>12</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仿宋_GB2312" w:cs="Times New Roman"/>
                <w:b/>
                <w:bCs/>
                <w:color w:val="auto"/>
                <w:sz w:val="24"/>
                <w:highlight w:val="none"/>
              </w:rPr>
            </w:pPr>
            <w:r>
              <w:rPr>
                <w:rFonts w:hint="eastAsia" w:ascii="Times New Roman" w:hAnsi="Times New Roman" w:eastAsia="仿宋_GB2312" w:cs="Times New Roman"/>
                <w:b/>
                <w:bCs/>
                <w:color w:val="auto"/>
                <w:sz w:val="24"/>
                <w:highlight w:val="none"/>
              </w:rPr>
              <w:t>磋商响应文件</w:t>
            </w:r>
          </w:p>
          <w:p>
            <w:pPr>
              <w:pStyle w:val="31"/>
              <w:keepNext w:val="0"/>
              <w:keepLines w:val="0"/>
              <w:suppressLineNumbers w:val="0"/>
              <w:spacing w:before="0" w:beforeAutospacing="0" w:after="0" w:afterAutospacing="0"/>
              <w:ind w:left="0" w:right="0"/>
              <w:jc w:val="center"/>
              <w:rPr>
                <w:rFonts w:hint="default" w:ascii="Times New Roman" w:hAnsi="Times New Roman" w:cs="Times New Roman"/>
                <w:color w:val="auto"/>
                <w:highlight w:val="none"/>
              </w:rPr>
            </w:pPr>
          </w:p>
          <w:p>
            <w:pPr>
              <w:keepNext w:val="0"/>
              <w:keepLines w:val="0"/>
              <w:suppressLineNumbers w:val="0"/>
              <w:spacing w:before="0" w:beforeAutospacing="0" w:after="0" w:afterAutospacing="0" w:line="320" w:lineRule="exact"/>
              <w:ind w:left="0" w:right="0"/>
              <w:jc w:val="center"/>
              <w:rPr>
                <w:rFonts w:hint="default" w:ascii="Times New Roman" w:hAnsi="Times New Roman" w:eastAsia="仿宋_GB2312" w:cs="Times New Roman"/>
                <w:color w:val="auto"/>
                <w:highlight w:val="none"/>
              </w:rPr>
            </w:pPr>
            <w:r>
              <w:rPr>
                <w:rFonts w:hint="eastAsia" w:ascii="Times New Roman" w:hAnsi="Times New Roman" w:eastAsia="仿宋_GB2312" w:cs="Times New Roman"/>
                <w:b/>
                <w:bCs/>
                <w:color w:val="auto"/>
                <w:sz w:val="24"/>
                <w:highlight w:val="none"/>
              </w:rPr>
              <w:t>提交地点、时间</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60" w:lineRule="auto"/>
              <w:ind w:left="0" w:right="0"/>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地点：广西南博国际信息有限公司</w:t>
            </w:r>
          </w:p>
          <w:p>
            <w:pPr>
              <w:keepNext w:val="0"/>
              <w:keepLines w:val="0"/>
              <w:suppressLineNumbers w:val="0"/>
              <w:spacing w:before="0" w:beforeAutospacing="0" w:after="0" w:afterAutospacing="0" w:line="360" w:lineRule="auto"/>
              <w:ind w:left="0" w:right="0"/>
              <w:rPr>
                <w:rFonts w:hint="eastAsia" w:ascii="Times New Roman" w:hAnsi="Times New Roman" w:cs="Times New Roman"/>
                <w:color w:val="auto"/>
                <w:highlight w:val="none"/>
              </w:rPr>
            </w:pPr>
            <w:r>
              <w:rPr>
                <w:rFonts w:hint="eastAsia" w:ascii="Times New Roman" w:hAnsi="Times New Roman" w:eastAsia="仿宋_GB2312" w:cs="Times New Roman"/>
                <w:color w:val="auto"/>
                <w:sz w:val="24"/>
                <w:highlight w:val="none"/>
              </w:rPr>
              <w:t>广西南宁市民族大道106号南宁国际会展中心行政综合楼北302室</w:t>
            </w:r>
          </w:p>
          <w:p>
            <w:pPr>
              <w:keepNext w:val="0"/>
              <w:keepLines w:val="0"/>
              <w:suppressLineNumbers w:val="0"/>
              <w:spacing w:before="0" w:beforeAutospacing="0" w:after="0" w:afterAutospacing="0" w:line="360" w:lineRule="auto"/>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yellow"/>
              </w:rPr>
              <w:t>截止时间:2021年</w:t>
            </w:r>
            <w:r>
              <w:rPr>
                <w:rFonts w:hint="default" w:ascii="Times New Roman" w:hAnsi="Times New Roman" w:eastAsia="仿宋_GB2312" w:cs="Times New Roman"/>
                <w:color w:val="auto"/>
                <w:sz w:val="24"/>
                <w:highlight w:val="yellow"/>
              </w:rPr>
              <w:t>12月</w:t>
            </w:r>
            <w:r>
              <w:rPr>
                <w:rFonts w:hint="eastAsia" w:eastAsia="仿宋_GB2312" w:cs="Times New Roman"/>
                <w:color w:val="auto"/>
                <w:sz w:val="24"/>
                <w:highlight w:val="yellow"/>
                <w:lang w:val="en-US" w:eastAsia="zh-CN"/>
              </w:rPr>
              <w:t>24</w:t>
            </w:r>
            <w:r>
              <w:rPr>
                <w:rFonts w:hint="default" w:ascii="Times New Roman" w:hAnsi="Times New Roman" w:eastAsia="仿宋_GB2312" w:cs="Times New Roman"/>
                <w:color w:val="auto"/>
                <w:sz w:val="24"/>
                <w:highlight w:val="yellow"/>
              </w:rPr>
              <w:t>日11:30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b/>
                <w:bCs/>
                <w:color w:val="auto"/>
                <w:sz w:val="24"/>
                <w:highlight w:val="none"/>
              </w:rPr>
            </w:pPr>
            <w:r>
              <w:rPr>
                <w:rFonts w:hint="eastAsia" w:ascii="Times New Roman" w:hAnsi="Times New Roman" w:cs="Times New Roman"/>
                <w:b/>
                <w:bCs/>
                <w:color w:val="auto"/>
                <w:sz w:val="24"/>
                <w:highlight w:val="none"/>
              </w:rPr>
              <w:t>1</w:t>
            </w:r>
            <w:r>
              <w:rPr>
                <w:rFonts w:hint="default" w:ascii="Times New Roman" w:hAnsi="Times New Roman" w:cs="Times New Roman"/>
                <w:b/>
                <w:bCs/>
                <w:color w:val="auto"/>
                <w:sz w:val="24"/>
                <w:highlight w:val="none"/>
              </w:rPr>
              <w:t>3</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eastAsia" w:ascii="Times New Roman" w:hAnsi="Times New Roman" w:eastAsia="仿宋_GB2312" w:cs="Times New Roman"/>
                <w:b/>
                <w:bCs/>
                <w:color w:val="auto"/>
                <w:sz w:val="24"/>
                <w:highlight w:val="none"/>
              </w:rPr>
            </w:pPr>
            <w:r>
              <w:rPr>
                <w:rFonts w:hint="eastAsia" w:ascii="Times New Roman" w:hAnsi="Times New Roman" w:eastAsia="仿宋_GB2312" w:cs="Times New Roman"/>
                <w:b/>
                <w:bCs/>
                <w:color w:val="auto"/>
                <w:sz w:val="24"/>
                <w:highlight w:val="none"/>
              </w:rPr>
              <w:t>响应文件开启时间、磋商时间及地点</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tabs>
                <w:tab w:val="left" w:pos="632"/>
              </w:tabs>
              <w:spacing w:before="0" w:beforeAutospacing="0" w:after="0" w:afterAutospacing="0" w:line="560" w:lineRule="exact"/>
              <w:ind w:left="0" w:right="0"/>
              <w:jc w:val="left"/>
              <w:rPr>
                <w:rFonts w:hint="eastAsia"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详见第一章竞争性磋商公告</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7" w:hRule="atLeast"/>
        </w:trPr>
        <w:tc>
          <w:tcPr>
            <w:tcW w:w="764" w:type="dxa"/>
            <w:tcBorders>
              <w:top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cs="Times New Roman"/>
                <w:b/>
                <w:bCs/>
                <w:color w:val="auto"/>
                <w:sz w:val="24"/>
                <w:highlight w:val="none"/>
              </w:rPr>
              <w:t>14</w:t>
            </w:r>
          </w:p>
        </w:tc>
        <w:tc>
          <w:tcPr>
            <w:tcW w:w="195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320" w:lineRule="exact"/>
              <w:ind w:left="0" w:right="0"/>
              <w:jc w:val="center"/>
              <w:rPr>
                <w:rFonts w:hint="default" w:ascii="Times New Roman" w:hAnsi="Times New Roman" w:cs="Times New Roman"/>
                <w:color w:val="auto"/>
                <w:highlight w:val="none"/>
              </w:rPr>
            </w:pPr>
            <w:r>
              <w:rPr>
                <w:rFonts w:hint="eastAsia" w:ascii="Times New Roman" w:hAnsi="Times New Roman" w:eastAsia="仿宋_GB2312" w:cs="Times New Roman"/>
                <w:b/>
                <w:bCs/>
                <w:color w:val="auto"/>
                <w:sz w:val="24"/>
                <w:highlight w:val="none"/>
              </w:rPr>
              <w:t>评标方法</w:t>
            </w:r>
          </w:p>
        </w:tc>
        <w:tc>
          <w:tcPr>
            <w:tcW w:w="6463" w:type="dxa"/>
            <w:tcBorders>
              <w:top w:val="single" w:color="auto" w:sz="4" w:space="0"/>
              <w:left w:val="single" w:color="auto" w:sz="4" w:space="0"/>
              <w:bottom w:val="single" w:color="auto" w:sz="4" w:space="0"/>
            </w:tcBorders>
            <w:noWrap w:val="0"/>
            <w:vAlign w:val="center"/>
          </w:tcPr>
          <w:p>
            <w:pPr>
              <w:keepNext w:val="0"/>
              <w:keepLines w:val="0"/>
              <w:suppressLineNumbers w:val="0"/>
              <w:spacing w:before="0" w:beforeAutospacing="0" w:after="0" w:afterAutospacing="0" w:line="320" w:lineRule="exact"/>
              <w:ind w:left="0" w:right="0"/>
              <w:rPr>
                <w:rFonts w:hint="default" w:ascii="Times New Roman" w:hAnsi="Times New Roman" w:eastAsia="仿宋_GB2312" w:cs="Times New Roman"/>
                <w:color w:val="auto"/>
                <w:sz w:val="24"/>
                <w:highlight w:val="none"/>
              </w:rPr>
            </w:pPr>
            <w:r>
              <w:rPr>
                <w:rFonts w:hint="eastAsia" w:ascii="Times New Roman" w:hAnsi="Times New Roman" w:eastAsia="仿宋_GB2312" w:cs="Times New Roman"/>
                <w:color w:val="auto"/>
                <w:sz w:val="24"/>
                <w:highlight w:val="none"/>
              </w:rPr>
              <w:t>综合评分办法</w:t>
            </w:r>
          </w:p>
        </w:tc>
      </w:tr>
    </w:tbl>
    <w:p>
      <w:pPr>
        <w:spacing w:line="600" w:lineRule="exact"/>
        <w:ind w:firstLine="560" w:firstLineChars="200"/>
        <w:jc w:val="center"/>
        <w:outlineLvl w:val="1"/>
        <w:rPr>
          <w:rFonts w:hint="eastAsia" w:eastAsia="华文中宋"/>
          <w:color w:val="auto"/>
          <w:sz w:val="32"/>
          <w:szCs w:val="32"/>
          <w:highlight w:val="none"/>
        </w:rPr>
      </w:pPr>
      <w:r>
        <w:rPr>
          <w:rFonts w:eastAsia="黑体"/>
          <w:bCs/>
          <w:color w:val="auto"/>
          <w:sz w:val="28"/>
          <w:szCs w:val="28"/>
          <w:highlight w:val="none"/>
        </w:rPr>
        <w:br w:type="page"/>
      </w:r>
      <w:r>
        <w:rPr>
          <w:rFonts w:eastAsia="黑体"/>
          <w:bCs/>
          <w:color w:val="auto"/>
          <w:sz w:val="28"/>
          <w:szCs w:val="28"/>
          <w:highlight w:val="none"/>
        </w:rPr>
        <w:t xml:space="preserve"> </w:t>
      </w:r>
      <w:bookmarkStart w:id="6" w:name="_Toc30924"/>
      <w:r>
        <w:rPr>
          <w:rFonts w:eastAsia="华文中宋"/>
          <w:color w:val="auto"/>
          <w:sz w:val="32"/>
          <w:szCs w:val="32"/>
          <w:highlight w:val="none"/>
        </w:rPr>
        <w:t>供应商</w:t>
      </w:r>
      <w:r>
        <w:rPr>
          <w:rFonts w:hint="eastAsia" w:eastAsia="华文中宋"/>
          <w:color w:val="auto"/>
          <w:sz w:val="32"/>
          <w:szCs w:val="32"/>
          <w:highlight w:val="none"/>
        </w:rPr>
        <w:t>须知</w:t>
      </w:r>
    </w:p>
    <w:p>
      <w:pPr>
        <w:snapToGrid w:val="0"/>
        <w:spacing w:line="600" w:lineRule="exact"/>
        <w:ind w:firstLine="560" w:firstLineChars="200"/>
        <w:outlineLvl w:val="1"/>
        <w:rPr>
          <w:rFonts w:hint="eastAsia" w:eastAsia="黑体"/>
          <w:bCs/>
          <w:color w:val="auto"/>
          <w:sz w:val="28"/>
          <w:szCs w:val="28"/>
          <w:highlight w:val="none"/>
        </w:rPr>
      </w:pPr>
      <w:r>
        <w:rPr>
          <w:rFonts w:hint="eastAsia" w:eastAsia="黑体"/>
          <w:bCs/>
          <w:color w:val="auto"/>
          <w:sz w:val="28"/>
          <w:szCs w:val="28"/>
          <w:highlight w:val="none"/>
        </w:rPr>
        <w:t>一、总则</w:t>
      </w:r>
      <w:bookmarkEnd w:id="6"/>
    </w:p>
    <w:p>
      <w:pPr>
        <w:adjustRightInd w:val="0"/>
        <w:snapToGrid w:val="0"/>
        <w:spacing w:line="600" w:lineRule="exact"/>
        <w:ind w:right="17" w:firstLine="562" w:firstLineChars="200"/>
        <w:rPr>
          <w:rFonts w:hint="eastAsia" w:eastAsia="仿宋_GB2312"/>
          <w:b/>
          <w:bCs/>
          <w:color w:val="auto"/>
          <w:sz w:val="28"/>
          <w:szCs w:val="28"/>
          <w:highlight w:val="none"/>
        </w:rPr>
      </w:pPr>
      <w:r>
        <w:rPr>
          <w:rFonts w:eastAsia="仿宋_GB2312"/>
          <w:b/>
          <w:bCs/>
          <w:color w:val="auto"/>
          <w:sz w:val="28"/>
          <w:szCs w:val="28"/>
          <w:highlight w:val="none"/>
        </w:rPr>
        <w:t>1.</w:t>
      </w:r>
      <w:r>
        <w:rPr>
          <w:rFonts w:hint="eastAsia" w:eastAsia="仿宋_GB2312"/>
          <w:b/>
          <w:bCs/>
          <w:color w:val="auto"/>
          <w:sz w:val="28"/>
          <w:szCs w:val="28"/>
          <w:highlight w:val="none"/>
        </w:rPr>
        <w:t>项目说明</w:t>
      </w:r>
    </w:p>
    <w:p>
      <w:pPr>
        <w:snapToGrid w:val="0"/>
        <w:spacing w:line="600" w:lineRule="exact"/>
        <w:ind w:firstLine="560" w:firstLineChars="200"/>
        <w:jc w:val="left"/>
        <w:rPr>
          <w:rFonts w:eastAsia="仿宋_GB2312"/>
          <w:color w:val="auto"/>
          <w:highlight w:val="none"/>
        </w:rPr>
      </w:pPr>
      <w:r>
        <w:rPr>
          <w:rFonts w:eastAsia="仿宋_GB2312"/>
          <w:color w:val="auto"/>
          <w:sz w:val="28"/>
          <w:szCs w:val="28"/>
          <w:highlight w:val="none"/>
        </w:rPr>
        <w:t>1</w:t>
      </w:r>
      <w:r>
        <w:rPr>
          <w:rFonts w:eastAsia="仿宋_GB2312"/>
          <w:color w:val="auto"/>
          <w:kern w:val="0"/>
          <w:sz w:val="28"/>
          <w:szCs w:val="28"/>
          <w:highlight w:val="none"/>
        </w:rPr>
        <w:t>.l项目</w:t>
      </w:r>
      <w:r>
        <w:rPr>
          <w:rFonts w:hint="eastAsia" w:eastAsia="仿宋_GB2312"/>
          <w:color w:val="auto"/>
          <w:kern w:val="0"/>
          <w:sz w:val="28"/>
          <w:szCs w:val="28"/>
          <w:highlight w:val="none"/>
        </w:rPr>
        <w:t>名称：</w:t>
      </w:r>
      <w:r>
        <w:rPr>
          <w:rFonts w:hint="eastAsia" w:ascii="仿宋_GB2312" w:hAnsi="仿宋_GB2312" w:eastAsia="仿宋_GB2312" w:cs="仿宋_GB2312"/>
          <w:bCs/>
          <w:color w:val="auto"/>
          <w:sz w:val="28"/>
          <w:szCs w:val="28"/>
          <w:highlight w:val="none"/>
        </w:rPr>
        <w:t>呼叫中心系统采购服务项目</w:t>
      </w:r>
    </w:p>
    <w:p>
      <w:pPr>
        <w:snapToGrid w:val="0"/>
        <w:spacing w:line="600" w:lineRule="exact"/>
        <w:ind w:firstLine="560" w:firstLineChars="200"/>
        <w:jc w:val="left"/>
        <w:rPr>
          <w:rFonts w:hint="eastAsia"/>
          <w:color w:val="auto"/>
          <w:highlight w:val="none"/>
        </w:rPr>
      </w:pPr>
      <w:r>
        <w:rPr>
          <w:rFonts w:eastAsia="仿宋_GB2312"/>
          <w:color w:val="auto"/>
          <w:kern w:val="0"/>
          <w:sz w:val="28"/>
          <w:szCs w:val="28"/>
          <w:highlight w:val="none"/>
        </w:rPr>
        <w:t>1.2</w:t>
      </w:r>
      <w:r>
        <w:rPr>
          <w:rFonts w:hint="eastAsia" w:eastAsia="仿宋_GB2312"/>
          <w:color w:val="auto"/>
          <w:kern w:val="0"/>
          <w:sz w:val="28"/>
          <w:szCs w:val="28"/>
          <w:highlight w:val="none"/>
        </w:rPr>
        <w:t>服务地点：</w:t>
      </w:r>
      <w:r>
        <w:rPr>
          <w:rFonts w:hint="eastAsia" w:eastAsia="仿宋_GB2312"/>
          <w:color w:val="auto"/>
          <w:sz w:val="28"/>
          <w:szCs w:val="28"/>
          <w:highlight w:val="none"/>
        </w:rPr>
        <w:t>采购方指定地点</w:t>
      </w:r>
    </w:p>
    <w:p>
      <w:pPr>
        <w:snapToGrid w:val="0"/>
        <w:spacing w:line="600" w:lineRule="exact"/>
        <w:ind w:firstLine="560" w:firstLineChars="200"/>
        <w:jc w:val="left"/>
        <w:rPr>
          <w:color w:val="auto"/>
          <w:highlight w:val="none"/>
        </w:rPr>
      </w:pPr>
      <w:r>
        <w:rPr>
          <w:rFonts w:eastAsia="仿宋_GB2312"/>
          <w:color w:val="auto"/>
          <w:kern w:val="0"/>
          <w:sz w:val="28"/>
          <w:szCs w:val="28"/>
          <w:highlight w:val="none"/>
        </w:rPr>
        <w:t>1.3</w:t>
      </w:r>
      <w:r>
        <w:rPr>
          <w:rFonts w:hint="eastAsia" w:eastAsia="仿宋_GB2312"/>
          <w:color w:val="auto"/>
          <w:kern w:val="0"/>
          <w:sz w:val="28"/>
          <w:szCs w:val="28"/>
          <w:highlight w:val="none"/>
        </w:rPr>
        <w:t>采购方式：</w:t>
      </w:r>
      <w:r>
        <w:rPr>
          <w:rFonts w:hint="eastAsia" w:eastAsia="仿宋_GB2312"/>
          <w:color w:val="auto"/>
          <w:sz w:val="28"/>
          <w:szCs w:val="28"/>
          <w:highlight w:val="none"/>
        </w:rPr>
        <w:t>根据项目实际据实结算</w:t>
      </w:r>
    </w:p>
    <w:p>
      <w:pPr>
        <w:snapToGrid w:val="0"/>
        <w:spacing w:line="600" w:lineRule="exact"/>
        <w:ind w:firstLine="560" w:firstLineChars="200"/>
        <w:jc w:val="left"/>
        <w:rPr>
          <w:color w:val="auto"/>
          <w:highlight w:val="none"/>
        </w:rPr>
      </w:pPr>
      <w:r>
        <w:rPr>
          <w:rFonts w:eastAsia="仿宋_GB2312"/>
          <w:color w:val="auto"/>
          <w:kern w:val="0"/>
          <w:sz w:val="28"/>
          <w:szCs w:val="28"/>
          <w:highlight w:val="none"/>
        </w:rPr>
        <w:t>1.4</w:t>
      </w:r>
      <w:r>
        <w:rPr>
          <w:rFonts w:hint="eastAsia" w:eastAsia="仿宋_GB2312"/>
          <w:color w:val="auto"/>
          <w:kern w:val="0"/>
          <w:sz w:val="28"/>
          <w:szCs w:val="28"/>
          <w:highlight w:val="none"/>
        </w:rPr>
        <w:t>质量标准：合格</w:t>
      </w:r>
    </w:p>
    <w:p>
      <w:pPr>
        <w:snapToGrid w:val="0"/>
        <w:spacing w:line="600" w:lineRule="exact"/>
        <w:ind w:firstLine="560" w:firstLineChars="200"/>
        <w:outlineLvl w:val="1"/>
        <w:rPr>
          <w:color w:val="auto"/>
          <w:highlight w:val="none"/>
        </w:rPr>
      </w:pPr>
      <w:bookmarkStart w:id="7" w:name="_Toc13476"/>
      <w:r>
        <w:rPr>
          <w:rFonts w:hint="eastAsia" w:eastAsia="黑体"/>
          <w:bCs/>
          <w:color w:val="auto"/>
          <w:sz w:val="28"/>
          <w:szCs w:val="28"/>
          <w:highlight w:val="none"/>
        </w:rPr>
        <w:t>二、竞争性磋商响应文件的编制</w:t>
      </w:r>
      <w:bookmarkEnd w:id="7"/>
    </w:p>
    <w:p>
      <w:pPr>
        <w:snapToGrid w:val="0"/>
        <w:spacing w:line="600" w:lineRule="exact"/>
        <w:ind w:firstLine="562"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b/>
          <w:bCs/>
          <w:color w:val="auto"/>
          <w:sz w:val="28"/>
          <w:szCs w:val="28"/>
          <w:highlight w:val="none"/>
        </w:rPr>
        <w:t>2.1竞争性磋商响应文件编制基本要求</w:t>
      </w:r>
    </w:p>
    <w:p>
      <w:pPr>
        <w:snapToGrid w:val="0"/>
        <w:spacing w:line="600" w:lineRule="exact"/>
        <w:ind w:firstLine="560" w:firstLineChars="200"/>
        <w:rPr>
          <w:color w:val="auto"/>
          <w:highlight w:val="none"/>
        </w:rPr>
      </w:pPr>
      <w:r>
        <w:rPr>
          <w:rFonts w:eastAsia="仿宋_GB2312"/>
          <w:color w:val="auto"/>
          <w:sz w:val="28"/>
          <w:szCs w:val="28"/>
          <w:highlight w:val="none"/>
        </w:rPr>
        <w:t>2.1.1</w:t>
      </w:r>
      <w:r>
        <w:rPr>
          <w:rFonts w:hint="eastAsia" w:eastAsia="仿宋_GB2312"/>
          <w:color w:val="auto"/>
          <w:sz w:val="28"/>
          <w:szCs w:val="28"/>
          <w:highlight w:val="none"/>
        </w:rPr>
        <w:t>磋商供应商对竞争性磋商响应文件的编制应按要求装订和封装。</w:t>
      </w:r>
    </w:p>
    <w:p>
      <w:pPr>
        <w:snapToGrid w:val="0"/>
        <w:spacing w:line="600" w:lineRule="exact"/>
        <w:ind w:firstLine="560" w:firstLineChars="200"/>
        <w:rPr>
          <w:color w:val="auto"/>
          <w:highlight w:val="none"/>
        </w:rPr>
      </w:pPr>
      <w:r>
        <w:rPr>
          <w:rFonts w:eastAsia="仿宋_GB2312"/>
          <w:color w:val="auto"/>
          <w:sz w:val="28"/>
          <w:szCs w:val="28"/>
          <w:highlight w:val="none"/>
        </w:rPr>
        <w:t>2.1.2</w:t>
      </w:r>
      <w:r>
        <w:rPr>
          <w:rFonts w:hint="eastAsia" w:eastAsia="仿宋_GB2312"/>
          <w:color w:val="auto"/>
          <w:sz w:val="28"/>
          <w:szCs w:val="28"/>
          <w:highlight w:val="none"/>
        </w:rPr>
        <w:t>磋商供应商提交的竞争性磋商响应文件以及磋商供应商与就有关磋商的所有来往函电均应使用中文。</w:t>
      </w:r>
      <w:r>
        <w:rPr>
          <w:rFonts w:eastAsia="仿宋_GB2312"/>
          <w:color w:val="auto"/>
          <w:sz w:val="28"/>
          <w:szCs w:val="28"/>
          <w:highlight w:val="none"/>
        </w:rPr>
        <w:t>磋商供应商</w:t>
      </w:r>
      <w:r>
        <w:rPr>
          <w:rFonts w:hint="eastAsia" w:eastAsia="仿宋_GB2312"/>
          <w:color w:val="auto"/>
          <w:sz w:val="28"/>
          <w:szCs w:val="28"/>
          <w:highlight w:val="none"/>
        </w:rPr>
        <w:t>提交的支持文件和印刷的文献可以使用别的语言，但其相应内容必须附有中文翻译文本，在解释竞争性磋商响应文件时以翻译文本为主。</w:t>
      </w:r>
    </w:p>
    <w:p>
      <w:pPr>
        <w:snapToGrid w:val="0"/>
        <w:spacing w:line="600" w:lineRule="exact"/>
        <w:ind w:firstLine="560" w:firstLineChars="200"/>
        <w:rPr>
          <w:color w:val="auto"/>
          <w:highlight w:val="none"/>
        </w:rPr>
      </w:pPr>
      <w:r>
        <w:rPr>
          <w:rFonts w:eastAsia="仿宋_GB2312"/>
          <w:color w:val="auto"/>
          <w:sz w:val="28"/>
          <w:szCs w:val="28"/>
          <w:highlight w:val="none"/>
        </w:rPr>
        <w:t>2.1.3磋商供应商</w:t>
      </w:r>
      <w:r>
        <w:rPr>
          <w:rFonts w:hint="eastAsia" w:eastAsia="仿宋_GB2312"/>
          <w:color w:val="auto"/>
          <w:sz w:val="28"/>
          <w:szCs w:val="28"/>
          <w:highlight w:val="none"/>
        </w:rPr>
        <w:t>应认真阅读、并充分理解本文件的全部内容（包括所有的补充、修改内容），承诺并履行本文件中各项条款规定及要求。</w:t>
      </w:r>
    </w:p>
    <w:p>
      <w:pPr>
        <w:snapToGrid w:val="0"/>
        <w:spacing w:line="600" w:lineRule="exact"/>
        <w:ind w:firstLine="560" w:firstLineChars="200"/>
        <w:rPr>
          <w:color w:val="auto"/>
          <w:highlight w:val="none"/>
        </w:rPr>
      </w:pPr>
      <w:r>
        <w:rPr>
          <w:rFonts w:eastAsia="仿宋_GB2312"/>
          <w:color w:val="auto"/>
          <w:sz w:val="28"/>
          <w:szCs w:val="28"/>
          <w:highlight w:val="none"/>
        </w:rPr>
        <w:t>2.1.4</w:t>
      </w:r>
      <w:r>
        <w:rPr>
          <w:rFonts w:hint="eastAsia" w:eastAsia="仿宋_GB2312"/>
          <w:color w:val="auto"/>
          <w:sz w:val="28"/>
          <w:szCs w:val="28"/>
          <w:highlight w:val="none"/>
        </w:rPr>
        <w:t>竞争性磋商响应文件必须按本文件的全部内容，包括所有的补充通知及附件进行编制。</w:t>
      </w:r>
    </w:p>
    <w:p>
      <w:pPr>
        <w:snapToGrid w:val="0"/>
        <w:spacing w:line="600" w:lineRule="exact"/>
        <w:ind w:firstLine="560" w:firstLineChars="200"/>
        <w:rPr>
          <w:color w:val="auto"/>
          <w:highlight w:val="none"/>
        </w:rPr>
      </w:pPr>
      <w:r>
        <w:rPr>
          <w:rFonts w:eastAsia="仿宋_GB2312"/>
          <w:color w:val="auto"/>
          <w:sz w:val="28"/>
          <w:szCs w:val="28"/>
          <w:highlight w:val="none"/>
        </w:rPr>
        <w:t>2.1.5</w:t>
      </w:r>
      <w:r>
        <w:rPr>
          <w:rFonts w:hint="eastAsia" w:eastAsia="仿宋_GB2312"/>
          <w:color w:val="auto"/>
          <w:sz w:val="28"/>
          <w:szCs w:val="28"/>
          <w:highlight w:val="none"/>
        </w:rPr>
        <w:t>如因磋商</w:t>
      </w:r>
      <w:r>
        <w:rPr>
          <w:rFonts w:eastAsia="仿宋_GB2312"/>
          <w:color w:val="auto"/>
          <w:sz w:val="28"/>
          <w:szCs w:val="28"/>
          <w:highlight w:val="none"/>
        </w:rPr>
        <w:t>供应商</w:t>
      </w:r>
      <w:r>
        <w:rPr>
          <w:rFonts w:hint="eastAsia" w:eastAsia="仿宋_GB2312"/>
          <w:color w:val="auto"/>
          <w:sz w:val="28"/>
          <w:szCs w:val="28"/>
          <w:highlight w:val="none"/>
        </w:rPr>
        <w:t>只填写和提供了本文件要求的部分内容和附件，而给评审造成困难，其可能导致的结果和责任由磋商</w:t>
      </w:r>
      <w:r>
        <w:rPr>
          <w:rFonts w:eastAsia="仿宋_GB2312"/>
          <w:color w:val="auto"/>
          <w:sz w:val="28"/>
          <w:szCs w:val="28"/>
          <w:highlight w:val="none"/>
        </w:rPr>
        <w:t>供应商</w:t>
      </w:r>
      <w:r>
        <w:rPr>
          <w:rFonts w:hint="eastAsia" w:eastAsia="仿宋_GB2312"/>
          <w:color w:val="auto"/>
          <w:sz w:val="28"/>
          <w:szCs w:val="28"/>
          <w:highlight w:val="none"/>
        </w:rPr>
        <w:t>自行承担。</w:t>
      </w:r>
    </w:p>
    <w:p>
      <w:pPr>
        <w:snapToGrid w:val="0"/>
        <w:spacing w:line="600" w:lineRule="exact"/>
        <w:ind w:firstLine="560" w:firstLineChars="200"/>
        <w:rPr>
          <w:color w:val="auto"/>
          <w:highlight w:val="none"/>
        </w:rPr>
      </w:pPr>
      <w:r>
        <w:rPr>
          <w:rFonts w:eastAsia="仿宋_GB2312"/>
          <w:color w:val="auto"/>
          <w:sz w:val="28"/>
          <w:szCs w:val="28"/>
          <w:highlight w:val="none"/>
        </w:rPr>
        <w:t>2.1.6</w:t>
      </w:r>
      <w:r>
        <w:rPr>
          <w:rFonts w:hint="eastAsia" w:eastAsia="仿宋_GB2312"/>
          <w:color w:val="auto"/>
          <w:sz w:val="28"/>
          <w:szCs w:val="28"/>
          <w:highlight w:val="none"/>
        </w:rPr>
        <w:t>竞争性磋商响应文件的组成</w:t>
      </w:r>
    </w:p>
    <w:p>
      <w:pPr>
        <w:snapToGrid w:val="0"/>
        <w:spacing w:line="600" w:lineRule="exact"/>
        <w:ind w:firstLine="560" w:firstLineChars="200"/>
        <w:rPr>
          <w:color w:val="auto"/>
          <w:highlight w:val="none"/>
        </w:rPr>
      </w:pPr>
      <w:r>
        <w:rPr>
          <w:rFonts w:hint="eastAsia" w:eastAsia="仿宋_GB2312"/>
          <w:color w:val="auto"/>
          <w:sz w:val="28"/>
          <w:szCs w:val="28"/>
          <w:highlight w:val="none"/>
        </w:rPr>
        <w:t>竞争性磋商响应文件应分为商务文件、资格证明文件和技术文件三个部分组成，商务文件和资格证明文件合并编制，技术文件单独编制。</w:t>
      </w:r>
    </w:p>
    <w:p>
      <w:pPr>
        <w:snapToGrid w:val="0"/>
        <w:spacing w:line="600" w:lineRule="exact"/>
        <w:ind w:firstLine="560" w:firstLineChars="200"/>
        <w:rPr>
          <w:color w:val="auto"/>
          <w:highlight w:val="none"/>
        </w:rPr>
      </w:pPr>
      <w:r>
        <w:rPr>
          <w:rFonts w:eastAsia="仿宋_GB2312"/>
          <w:color w:val="auto"/>
          <w:sz w:val="28"/>
          <w:szCs w:val="28"/>
          <w:highlight w:val="none"/>
        </w:rPr>
        <w:t>2.1.6.1</w:t>
      </w:r>
      <w:r>
        <w:rPr>
          <w:rFonts w:hint="eastAsia" w:eastAsia="仿宋_GB2312"/>
          <w:color w:val="auto"/>
          <w:sz w:val="28"/>
          <w:szCs w:val="28"/>
          <w:highlight w:val="none"/>
        </w:rPr>
        <w:t>商务文件</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（1）磋商书（详见附件1）；</w:t>
      </w:r>
      <w:r>
        <w:rPr>
          <w:rFonts w:eastAsia="仿宋_GB2312"/>
          <w:b/>
          <w:bCs/>
          <w:color w:val="auto"/>
          <w:sz w:val="28"/>
          <w:szCs w:val="28"/>
          <w:highlight w:val="none"/>
        </w:rPr>
        <w:t>（必须提供，否则响应文件按无效响应处理）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（2）报价表（详见附件2）；</w:t>
      </w:r>
      <w:r>
        <w:rPr>
          <w:rFonts w:eastAsia="仿宋_GB2312"/>
          <w:b/>
          <w:bCs/>
          <w:color w:val="auto"/>
          <w:sz w:val="28"/>
          <w:szCs w:val="28"/>
          <w:highlight w:val="none"/>
        </w:rPr>
        <w:t>（必须提供，否则响应文件按无效响应处理）</w:t>
      </w:r>
    </w:p>
    <w:p>
      <w:pPr>
        <w:pStyle w:val="11"/>
        <w:snapToGrid w:val="0"/>
        <w:spacing w:before="0" w:after="0" w:line="600" w:lineRule="exact"/>
        <w:ind w:firstLine="560" w:firstLineChars="200"/>
        <w:rPr>
          <w:rFonts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w:t>
      </w:r>
      <w:r>
        <w:rPr>
          <w:rFonts w:ascii="Times New Roman" w:hAnsi="Times New Roman" w:eastAsia="仿宋_GB2312"/>
          <w:b w:val="0"/>
          <w:bCs w:val="0"/>
          <w:caps w:val="0"/>
          <w:color w:val="auto"/>
          <w:sz w:val="28"/>
          <w:szCs w:val="28"/>
          <w:highlight w:val="none"/>
        </w:rPr>
        <w:t>3</w:t>
      </w:r>
      <w:r>
        <w:rPr>
          <w:rFonts w:hint="eastAsia" w:ascii="Times New Roman" w:hAnsi="Times New Roman" w:eastAsia="仿宋_GB2312"/>
          <w:b w:val="0"/>
          <w:bCs w:val="0"/>
          <w:caps w:val="0"/>
          <w:color w:val="auto"/>
          <w:sz w:val="28"/>
          <w:szCs w:val="28"/>
          <w:highlight w:val="none"/>
        </w:rPr>
        <w:t>）优惠条件（如有）；</w:t>
      </w:r>
      <w:r>
        <w:rPr>
          <w:rFonts w:ascii="Times New Roman" w:hAnsi="Times New Roman" w:eastAsia="仿宋_GB2312"/>
          <w:b w:val="0"/>
          <w:bCs w:val="0"/>
          <w:caps w:val="0"/>
          <w:color w:val="auto"/>
          <w:sz w:val="28"/>
          <w:szCs w:val="28"/>
          <w:highlight w:val="none"/>
        </w:rPr>
        <w:t xml:space="preserve"> </w:t>
      </w:r>
    </w:p>
    <w:p>
      <w:pPr>
        <w:snapToGrid w:val="0"/>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（4）商务响应表；（详见附件</w:t>
      </w:r>
      <w:r>
        <w:rPr>
          <w:rFonts w:eastAsia="仿宋_GB2312"/>
          <w:color w:val="auto"/>
          <w:sz w:val="28"/>
          <w:szCs w:val="28"/>
          <w:highlight w:val="none"/>
        </w:rPr>
        <w:t>3</w:t>
      </w:r>
      <w:r>
        <w:rPr>
          <w:rFonts w:hint="eastAsia" w:eastAsia="仿宋_GB2312"/>
          <w:color w:val="auto"/>
          <w:sz w:val="28"/>
          <w:szCs w:val="28"/>
          <w:highlight w:val="none"/>
        </w:rPr>
        <w:t>）</w:t>
      </w:r>
    </w:p>
    <w:p>
      <w:pPr>
        <w:pStyle w:val="11"/>
        <w:snapToGrid w:val="0"/>
        <w:spacing w:before="0" w:after="0" w:line="600" w:lineRule="exact"/>
        <w:ind w:firstLine="560" w:firstLineChars="200"/>
        <w:rPr>
          <w:rFonts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w:t>
      </w:r>
      <w:r>
        <w:rPr>
          <w:rFonts w:ascii="Times New Roman" w:hAnsi="Times New Roman" w:eastAsia="仿宋_GB2312"/>
          <w:b w:val="0"/>
          <w:bCs w:val="0"/>
          <w:caps w:val="0"/>
          <w:color w:val="auto"/>
          <w:sz w:val="28"/>
          <w:szCs w:val="28"/>
          <w:highlight w:val="none"/>
        </w:rPr>
        <w:t>5</w:t>
      </w:r>
      <w:r>
        <w:rPr>
          <w:rFonts w:hint="eastAsia" w:ascii="Times New Roman" w:hAnsi="Times New Roman" w:eastAsia="仿宋_GB2312"/>
          <w:b w:val="0"/>
          <w:bCs w:val="0"/>
          <w:caps w:val="0"/>
          <w:color w:val="auto"/>
          <w:sz w:val="28"/>
          <w:szCs w:val="28"/>
          <w:highlight w:val="none"/>
        </w:rPr>
        <w:t>）供应商认为必要提供的相关证明材料（详见附件</w:t>
      </w:r>
      <w:r>
        <w:rPr>
          <w:rFonts w:ascii="Times New Roman" w:hAnsi="Times New Roman" w:eastAsia="仿宋_GB2312"/>
          <w:b w:val="0"/>
          <w:bCs w:val="0"/>
          <w:caps w:val="0"/>
          <w:color w:val="auto"/>
          <w:sz w:val="28"/>
          <w:szCs w:val="28"/>
          <w:highlight w:val="none"/>
        </w:rPr>
        <w:t>4</w:t>
      </w:r>
      <w:r>
        <w:rPr>
          <w:rFonts w:hint="eastAsia" w:ascii="Times New Roman" w:hAnsi="Times New Roman" w:eastAsia="仿宋_GB2312"/>
          <w:b w:val="0"/>
          <w:bCs w:val="0"/>
          <w:caps w:val="0"/>
          <w:color w:val="auto"/>
          <w:sz w:val="28"/>
          <w:szCs w:val="28"/>
          <w:highlight w:val="none"/>
        </w:rPr>
        <w:t>）；</w:t>
      </w:r>
    </w:p>
    <w:p>
      <w:pPr>
        <w:snapToGrid w:val="0"/>
        <w:spacing w:line="600" w:lineRule="exact"/>
        <w:ind w:firstLine="560" w:firstLineChars="200"/>
        <w:rPr>
          <w:color w:val="auto"/>
          <w:highlight w:val="none"/>
        </w:rPr>
      </w:pPr>
      <w:r>
        <w:rPr>
          <w:rFonts w:eastAsia="仿宋_GB2312"/>
          <w:color w:val="auto"/>
          <w:sz w:val="28"/>
          <w:szCs w:val="28"/>
          <w:highlight w:val="none"/>
        </w:rPr>
        <w:t>2.1.6.2</w:t>
      </w:r>
      <w:r>
        <w:rPr>
          <w:rFonts w:hint="eastAsia" w:eastAsia="仿宋_GB2312"/>
          <w:color w:val="auto"/>
          <w:sz w:val="28"/>
          <w:szCs w:val="28"/>
          <w:highlight w:val="none"/>
        </w:rPr>
        <w:t>资格证明文件</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（1）法人或者其他组织的营业执照等证明文件（如营业执照或事业单位法人证书或执业许可证等），自然人的身份证复印件（</w:t>
      </w:r>
      <w:r>
        <w:rPr>
          <w:rFonts w:eastAsia="仿宋_GB2312"/>
          <w:b/>
          <w:bCs/>
          <w:color w:val="auto"/>
          <w:sz w:val="28"/>
          <w:szCs w:val="28"/>
          <w:highlight w:val="none"/>
        </w:rPr>
        <w:t>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（2）法定代表人</w:t>
      </w:r>
      <w:r>
        <w:rPr>
          <w:rFonts w:hint="eastAsia" w:eastAsia="仿宋_GB2312"/>
          <w:color w:val="auto"/>
          <w:sz w:val="28"/>
          <w:szCs w:val="28"/>
          <w:highlight w:val="none"/>
        </w:rPr>
        <w:t>（负责人）</w:t>
      </w:r>
      <w:r>
        <w:rPr>
          <w:rFonts w:eastAsia="仿宋_GB2312"/>
          <w:color w:val="auto"/>
          <w:sz w:val="28"/>
          <w:szCs w:val="28"/>
          <w:highlight w:val="none"/>
        </w:rPr>
        <w:t>身份证明书及法定代表人</w:t>
      </w:r>
      <w:r>
        <w:rPr>
          <w:rFonts w:hint="eastAsia" w:eastAsia="仿宋_GB2312"/>
          <w:color w:val="auto"/>
          <w:sz w:val="28"/>
          <w:szCs w:val="28"/>
          <w:highlight w:val="none"/>
        </w:rPr>
        <w:t>（负责人）</w:t>
      </w:r>
      <w:r>
        <w:rPr>
          <w:rFonts w:eastAsia="仿宋_GB2312"/>
          <w:color w:val="auto"/>
          <w:sz w:val="28"/>
          <w:szCs w:val="28"/>
          <w:highlight w:val="none"/>
        </w:rPr>
        <w:t>有效身份证正反面复印件（详见附件5）；</w:t>
      </w:r>
      <w:r>
        <w:rPr>
          <w:rFonts w:eastAsia="仿宋_GB2312"/>
          <w:b/>
          <w:bCs/>
          <w:color w:val="auto"/>
          <w:sz w:val="28"/>
          <w:szCs w:val="28"/>
          <w:highlight w:val="none"/>
        </w:rPr>
        <w:t>（除自然人竞标外必须提供，否则响应文件按无效响应处理）</w:t>
      </w:r>
    </w:p>
    <w:p>
      <w:pPr>
        <w:snapToGrid w:val="0"/>
        <w:spacing w:line="600" w:lineRule="exact"/>
        <w:ind w:firstLine="560" w:firstLineChars="200"/>
        <w:rPr>
          <w:rFonts w:eastAsia="仿宋_GB2312"/>
          <w:b/>
          <w:bCs/>
          <w:color w:val="auto"/>
          <w:sz w:val="28"/>
          <w:szCs w:val="28"/>
          <w:highlight w:val="none"/>
        </w:rPr>
      </w:pPr>
      <w:r>
        <w:rPr>
          <w:rFonts w:eastAsia="仿宋_GB2312"/>
          <w:color w:val="auto"/>
          <w:sz w:val="28"/>
          <w:szCs w:val="28"/>
          <w:highlight w:val="none"/>
        </w:rPr>
        <w:t>（3）法定代表人</w:t>
      </w:r>
      <w:r>
        <w:rPr>
          <w:rFonts w:hint="eastAsia" w:eastAsia="仿宋_GB2312"/>
          <w:color w:val="auto"/>
          <w:sz w:val="28"/>
          <w:szCs w:val="28"/>
          <w:highlight w:val="none"/>
        </w:rPr>
        <w:t>（负责人）</w:t>
      </w:r>
      <w:r>
        <w:rPr>
          <w:rFonts w:eastAsia="仿宋_GB2312"/>
          <w:color w:val="auto"/>
          <w:sz w:val="28"/>
          <w:szCs w:val="28"/>
          <w:highlight w:val="none"/>
        </w:rPr>
        <w:t>授权委托书及委托代理人有效身份证正反面复印件（详见附件6）；</w:t>
      </w:r>
      <w:r>
        <w:rPr>
          <w:rFonts w:eastAsia="仿宋_GB2312"/>
          <w:b/>
          <w:color w:val="auto"/>
          <w:sz w:val="28"/>
          <w:szCs w:val="28"/>
          <w:highlight w:val="none"/>
        </w:rPr>
        <w:t>（委托时必须提供，否则响应文件按无效响应处理）</w:t>
      </w:r>
    </w:p>
    <w:p>
      <w:pPr>
        <w:snapToGrid w:val="0"/>
        <w:spacing w:line="600" w:lineRule="exact"/>
        <w:ind w:firstLine="560"/>
        <w:jc w:val="left"/>
        <w:rPr>
          <w:rFonts w:eastAsia="仿宋_GB2312"/>
          <w:color w:val="auto"/>
          <w:sz w:val="28"/>
          <w:szCs w:val="28"/>
          <w:highlight w:val="none"/>
        </w:rPr>
      </w:pPr>
      <w:r>
        <w:rPr>
          <w:rFonts w:eastAsia="仿宋_GB2312"/>
          <w:color w:val="auto"/>
          <w:sz w:val="28"/>
          <w:szCs w:val="28"/>
          <w:highlight w:val="none"/>
        </w:rPr>
        <w:t>（4）廉洁承诺书；（详见附件7）；</w:t>
      </w:r>
      <w:r>
        <w:rPr>
          <w:rFonts w:eastAsia="仿宋_GB2312"/>
          <w:b/>
          <w:color w:val="auto"/>
          <w:sz w:val="28"/>
          <w:szCs w:val="28"/>
          <w:highlight w:val="none"/>
        </w:rPr>
        <w:t>（必须提供，否则响应文件按无效响应处理）</w:t>
      </w:r>
      <w:r>
        <w:rPr>
          <w:rFonts w:eastAsia="仿宋_GB2312"/>
          <w:color w:val="auto"/>
          <w:sz w:val="28"/>
          <w:szCs w:val="28"/>
          <w:highlight w:val="none"/>
        </w:rPr>
        <w:t xml:space="preserve">   </w:t>
      </w:r>
    </w:p>
    <w:p>
      <w:pPr>
        <w:snapToGrid w:val="0"/>
        <w:spacing w:line="600" w:lineRule="exact"/>
        <w:ind w:firstLine="560"/>
        <w:jc w:val="left"/>
        <w:rPr>
          <w:rFonts w:eastAsia="仿宋_GB2312"/>
          <w:color w:val="auto"/>
          <w:sz w:val="28"/>
          <w:szCs w:val="28"/>
          <w:highlight w:val="none"/>
        </w:rPr>
      </w:pPr>
      <w:r>
        <w:rPr>
          <w:rFonts w:eastAsia="仿宋_GB2312"/>
          <w:color w:val="auto"/>
          <w:sz w:val="28"/>
          <w:szCs w:val="28"/>
          <w:highlight w:val="none"/>
        </w:rPr>
        <w:t>（</w:t>
      </w:r>
      <w:r>
        <w:rPr>
          <w:rFonts w:hint="eastAsia" w:eastAsia="仿宋_GB2312"/>
          <w:color w:val="auto"/>
          <w:sz w:val="28"/>
          <w:szCs w:val="28"/>
          <w:highlight w:val="none"/>
        </w:rPr>
        <w:t>5</w:t>
      </w:r>
      <w:r>
        <w:rPr>
          <w:rFonts w:eastAsia="仿宋_GB2312"/>
          <w:color w:val="auto"/>
          <w:sz w:val="28"/>
          <w:szCs w:val="28"/>
          <w:highlight w:val="none"/>
        </w:rPr>
        <w:t>）供应商认为必要提供的声明及文件资料；（详见附件8）</w:t>
      </w:r>
    </w:p>
    <w:p>
      <w:pPr>
        <w:snapToGrid w:val="0"/>
        <w:spacing w:line="600" w:lineRule="exact"/>
        <w:ind w:firstLine="560" w:firstLineChars="200"/>
        <w:jc w:val="left"/>
        <w:rPr>
          <w:rFonts w:eastAsia="仿宋_GB2312"/>
          <w:color w:val="auto"/>
          <w:sz w:val="28"/>
          <w:szCs w:val="28"/>
          <w:highlight w:val="none"/>
        </w:rPr>
      </w:pPr>
      <w:r>
        <w:rPr>
          <w:rFonts w:eastAsia="仿宋_GB2312"/>
          <w:color w:val="auto"/>
          <w:sz w:val="28"/>
          <w:szCs w:val="28"/>
          <w:highlight w:val="none"/>
        </w:rPr>
        <w:t>2.1.6.3技术文件</w:t>
      </w:r>
    </w:p>
    <w:p>
      <w:pPr>
        <w:snapToGrid w:val="0"/>
        <w:spacing w:line="600" w:lineRule="exact"/>
        <w:ind w:firstLine="560" w:firstLineChars="200"/>
        <w:rPr>
          <w:rFonts w:eastAsia="仿宋_GB2312"/>
          <w:b/>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技术响应</w:t>
      </w:r>
      <w:r>
        <w:rPr>
          <w:rFonts w:eastAsia="仿宋_GB2312"/>
          <w:color w:val="auto"/>
          <w:sz w:val="28"/>
          <w:szCs w:val="28"/>
          <w:highlight w:val="none"/>
        </w:rPr>
        <w:t>表；（详见附件9）</w:t>
      </w:r>
      <w:r>
        <w:rPr>
          <w:rFonts w:eastAsia="仿宋_GB2312"/>
          <w:b/>
          <w:color w:val="auto"/>
          <w:sz w:val="28"/>
          <w:szCs w:val="28"/>
          <w:highlight w:val="none"/>
        </w:rPr>
        <w:t>（必须提供，否则响应文件按无效响应处理）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（2）服务承诺书；（详见附件10）</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服务方案</w:t>
      </w:r>
      <w:r>
        <w:rPr>
          <w:rFonts w:eastAsia="仿宋_GB2312"/>
          <w:color w:val="auto"/>
          <w:sz w:val="28"/>
          <w:szCs w:val="28"/>
          <w:highlight w:val="none"/>
        </w:rPr>
        <w:t>；（详见附件11）</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实施</w:t>
      </w:r>
      <w:r>
        <w:rPr>
          <w:rFonts w:eastAsia="仿宋_GB2312"/>
          <w:color w:val="auto"/>
          <w:sz w:val="28"/>
          <w:szCs w:val="28"/>
          <w:highlight w:val="none"/>
        </w:rPr>
        <w:t>方案；（详见附件12）</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（5）</w:t>
      </w:r>
      <w:r>
        <w:rPr>
          <w:rFonts w:hint="eastAsia" w:eastAsia="仿宋_GB2312"/>
          <w:color w:val="auto"/>
          <w:sz w:val="28"/>
          <w:szCs w:val="28"/>
          <w:highlight w:val="none"/>
        </w:rPr>
        <w:t>售后服务</w:t>
      </w:r>
      <w:r>
        <w:rPr>
          <w:rFonts w:eastAsia="仿宋_GB2312"/>
          <w:color w:val="auto"/>
          <w:sz w:val="28"/>
          <w:szCs w:val="28"/>
          <w:highlight w:val="none"/>
        </w:rPr>
        <w:t>方案；（详见附件13）</w:t>
      </w:r>
    </w:p>
    <w:p>
      <w:pPr>
        <w:snapToGrid w:val="0"/>
        <w:spacing w:line="600" w:lineRule="exact"/>
        <w:ind w:firstLine="560" w:firstLineChars="200"/>
        <w:jc w:val="left"/>
        <w:rPr>
          <w:color w:val="auto"/>
          <w:highlight w:val="none"/>
        </w:rPr>
      </w:pPr>
      <w:r>
        <w:rPr>
          <w:rFonts w:eastAsia="仿宋_GB2312"/>
          <w:color w:val="auto"/>
          <w:sz w:val="28"/>
          <w:szCs w:val="28"/>
          <w:highlight w:val="none"/>
        </w:rPr>
        <w:t>（6）其他；</w:t>
      </w:r>
      <w:r>
        <w:rPr>
          <w:rFonts w:hint="eastAsia" w:eastAsia="仿宋_GB2312"/>
          <w:color w:val="auto"/>
          <w:sz w:val="28"/>
          <w:szCs w:val="28"/>
          <w:highlight w:val="none"/>
        </w:rPr>
        <w:t>（详见附件</w:t>
      </w:r>
      <w:r>
        <w:rPr>
          <w:rFonts w:eastAsia="仿宋_GB2312"/>
          <w:color w:val="auto"/>
          <w:sz w:val="28"/>
          <w:szCs w:val="28"/>
          <w:highlight w:val="none"/>
        </w:rPr>
        <w:t>14</w:t>
      </w:r>
      <w:r>
        <w:rPr>
          <w:rFonts w:hint="eastAsia" w:eastAsia="仿宋_GB2312"/>
          <w:color w:val="auto"/>
          <w:sz w:val="28"/>
          <w:szCs w:val="28"/>
          <w:highlight w:val="none"/>
        </w:rPr>
        <w:t>）</w:t>
      </w:r>
    </w:p>
    <w:p>
      <w:pPr>
        <w:snapToGrid w:val="0"/>
        <w:spacing w:line="600" w:lineRule="exact"/>
        <w:ind w:firstLine="562" w:firstLineChars="200"/>
        <w:rPr>
          <w:color w:val="auto"/>
          <w:highlight w:val="none"/>
        </w:rPr>
      </w:pPr>
      <w:r>
        <w:rPr>
          <w:rFonts w:eastAsia="仿宋_GB2312"/>
          <w:b/>
          <w:bCs/>
          <w:color w:val="auto"/>
          <w:sz w:val="28"/>
          <w:szCs w:val="28"/>
          <w:highlight w:val="none"/>
        </w:rPr>
        <w:t>2.2</w:t>
      </w:r>
      <w:r>
        <w:rPr>
          <w:rFonts w:hint="eastAsia" w:eastAsia="仿宋_GB2312"/>
          <w:b/>
          <w:bCs/>
          <w:color w:val="auto"/>
          <w:sz w:val="28"/>
          <w:szCs w:val="28"/>
          <w:highlight w:val="none"/>
        </w:rPr>
        <w:t>计量单位</w:t>
      </w:r>
    </w:p>
    <w:p>
      <w:pPr>
        <w:snapToGrid w:val="0"/>
        <w:spacing w:line="600" w:lineRule="exact"/>
        <w:ind w:firstLine="560" w:firstLineChars="200"/>
        <w:rPr>
          <w:color w:val="auto"/>
          <w:highlight w:val="none"/>
        </w:rPr>
      </w:pPr>
      <w:r>
        <w:rPr>
          <w:rFonts w:eastAsia="仿宋_GB2312"/>
          <w:color w:val="auto"/>
          <w:sz w:val="28"/>
          <w:szCs w:val="28"/>
          <w:highlight w:val="none"/>
        </w:rPr>
        <w:t>2.2.1</w:t>
      </w:r>
      <w:r>
        <w:rPr>
          <w:rFonts w:hint="eastAsia" w:eastAsia="仿宋_GB2312"/>
          <w:color w:val="auto"/>
          <w:sz w:val="28"/>
          <w:szCs w:val="28"/>
          <w:highlight w:val="none"/>
        </w:rPr>
        <w:t>除技术要求中另有规定外，本文件所要求使用的计量单位均应采用国家法定计量单位。</w:t>
      </w:r>
    </w:p>
    <w:p>
      <w:pPr>
        <w:snapToGrid w:val="0"/>
        <w:spacing w:line="600" w:lineRule="exact"/>
        <w:ind w:firstLine="560" w:firstLineChars="200"/>
        <w:outlineLvl w:val="1"/>
        <w:rPr>
          <w:color w:val="auto"/>
          <w:highlight w:val="none"/>
        </w:rPr>
      </w:pPr>
      <w:bookmarkStart w:id="8" w:name="_Toc15327"/>
      <w:r>
        <w:rPr>
          <w:rFonts w:hint="eastAsia" w:eastAsia="黑体"/>
          <w:bCs/>
          <w:color w:val="auto"/>
          <w:sz w:val="28"/>
          <w:szCs w:val="28"/>
          <w:highlight w:val="none"/>
        </w:rPr>
        <w:t>三、磋商报价要求</w:t>
      </w:r>
      <w:bookmarkEnd w:id="8"/>
    </w:p>
    <w:p>
      <w:pPr>
        <w:snapToGrid w:val="0"/>
        <w:spacing w:line="600" w:lineRule="exact"/>
        <w:ind w:firstLine="560" w:firstLineChars="200"/>
        <w:rPr>
          <w:color w:val="auto"/>
          <w:highlight w:val="none"/>
        </w:rPr>
      </w:pPr>
      <w:bookmarkStart w:id="9" w:name="_Toc150"/>
      <w:r>
        <w:rPr>
          <w:rFonts w:hint="eastAsia" w:eastAsia="仿宋_GB2312"/>
          <w:color w:val="auto"/>
          <w:sz w:val="28"/>
          <w:szCs w:val="28"/>
          <w:highlight w:val="none"/>
        </w:rPr>
        <w:t>3</w:t>
      </w:r>
      <w:r>
        <w:rPr>
          <w:rFonts w:eastAsia="仿宋_GB2312"/>
          <w:color w:val="auto"/>
          <w:sz w:val="28"/>
          <w:szCs w:val="28"/>
          <w:highlight w:val="none"/>
        </w:rPr>
        <w:t>.1磋商供应商</w:t>
      </w:r>
      <w:r>
        <w:rPr>
          <w:rFonts w:hint="eastAsia" w:eastAsia="仿宋_GB2312"/>
          <w:color w:val="auto"/>
          <w:sz w:val="28"/>
          <w:szCs w:val="28"/>
          <w:highlight w:val="none"/>
        </w:rPr>
        <w:t>须按照本文件所列项目内容报价，本文件未列明的细项，</w:t>
      </w:r>
      <w:r>
        <w:rPr>
          <w:rFonts w:eastAsia="仿宋_GB2312"/>
          <w:color w:val="auto"/>
          <w:sz w:val="28"/>
          <w:szCs w:val="28"/>
          <w:highlight w:val="none"/>
        </w:rPr>
        <w:t>磋商供应商</w:t>
      </w:r>
      <w:r>
        <w:rPr>
          <w:rFonts w:hint="eastAsia" w:eastAsia="仿宋_GB2312"/>
          <w:color w:val="auto"/>
          <w:sz w:val="28"/>
          <w:szCs w:val="28"/>
          <w:highlight w:val="none"/>
        </w:rPr>
        <w:t>可根据会务执行实际情况列入报价清单，如结算时未发生的将不予以计算。</w:t>
      </w:r>
      <w:r>
        <w:rPr>
          <w:rFonts w:eastAsia="仿宋_GB2312"/>
          <w:color w:val="auto"/>
          <w:sz w:val="28"/>
          <w:szCs w:val="28"/>
          <w:highlight w:val="none"/>
        </w:rPr>
        <w:t xml:space="preserve"> </w:t>
      </w:r>
    </w:p>
    <w:p>
      <w:pPr>
        <w:snapToGrid w:val="0"/>
        <w:spacing w:line="600" w:lineRule="exact"/>
        <w:ind w:firstLine="560" w:firstLineChars="200"/>
        <w:outlineLvl w:val="1"/>
        <w:rPr>
          <w:rFonts w:hint="eastAsia" w:eastAsia="黑体"/>
          <w:bCs/>
          <w:color w:val="auto"/>
          <w:sz w:val="28"/>
          <w:szCs w:val="28"/>
          <w:highlight w:val="none"/>
        </w:rPr>
      </w:pPr>
      <w:r>
        <w:rPr>
          <w:rFonts w:hint="eastAsia" w:eastAsia="黑体"/>
          <w:bCs/>
          <w:color w:val="auto"/>
          <w:sz w:val="28"/>
          <w:szCs w:val="28"/>
          <w:highlight w:val="none"/>
        </w:rPr>
        <w:t>四、竞争性磋商响应文件的份数、封装和递交</w:t>
      </w:r>
      <w:bookmarkEnd w:id="9"/>
    </w:p>
    <w:p>
      <w:pPr>
        <w:snapToGrid w:val="0"/>
        <w:spacing w:line="600" w:lineRule="exact"/>
        <w:ind w:firstLine="560" w:firstLineChars="200"/>
        <w:rPr>
          <w:rFonts w:hint="eastAsia" w:eastAsia="仿宋_GB2312"/>
          <w:b/>
          <w:bCs/>
          <w:caps/>
          <w:color w:val="auto"/>
          <w:sz w:val="28"/>
          <w:szCs w:val="28"/>
          <w:highlight w:val="none"/>
        </w:rPr>
      </w:pPr>
      <w:r>
        <w:rPr>
          <w:rFonts w:hint="eastAsia" w:eastAsia="仿宋_GB2312"/>
          <w:color w:val="auto"/>
          <w:sz w:val="28"/>
          <w:szCs w:val="28"/>
          <w:highlight w:val="none"/>
        </w:rPr>
        <w:t>响应文件的份数：商务文件和资格证明文件合并装订，正本1份，副本2份；技术文件单独装订，正本1份，副本2份。</w:t>
      </w:r>
    </w:p>
    <w:p>
      <w:pPr>
        <w:pStyle w:val="11"/>
        <w:snapToGrid w:val="0"/>
        <w:spacing w:before="0" w:after="0" w:line="600" w:lineRule="exact"/>
        <w:ind w:firstLine="560" w:firstLineChars="200"/>
        <w:rPr>
          <w:rFonts w:hint="eastAsia" w:ascii="Times New Roman" w:hAnsi="Times New Roman" w:eastAsia="仿宋_GB2312"/>
          <w:b w:val="0"/>
          <w:bCs w:val="0"/>
          <w:caps w:val="0"/>
          <w:color w:val="auto"/>
          <w:sz w:val="28"/>
          <w:szCs w:val="28"/>
          <w:highlight w:val="none"/>
        </w:rPr>
      </w:pPr>
      <w:r>
        <w:rPr>
          <w:rFonts w:hint="eastAsia" w:ascii="Times New Roman" w:hAnsi="Times New Roman" w:eastAsia="仿宋_GB2312"/>
          <w:b w:val="0"/>
          <w:bCs w:val="0"/>
          <w:caps w:val="0"/>
          <w:color w:val="auto"/>
          <w:sz w:val="28"/>
          <w:szCs w:val="28"/>
          <w:highlight w:val="none"/>
        </w:rPr>
        <w:t>响应文件密封方式：响应文件盖，纸质版装入响应文件袋（箱）中密封投递。</w:t>
      </w:r>
    </w:p>
    <w:p>
      <w:pPr>
        <w:pStyle w:val="11"/>
        <w:snapToGrid w:val="0"/>
        <w:spacing w:before="0" w:after="0" w:line="600" w:lineRule="exact"/>
        <w:ind w:firstLine="562" w:firstLineChars="200"/>
        <w:rPr>
          <w:color w:val="auto"/>
          <w:highlight w:val="none"/>
        </w:rPr>
      </w:pPr>
      <w:r>
        <w:rPr>
          <w:rFonts w:ascii="仿宋_GB2312" w:hAnsi="仿宋_GB2312" w:eastAsia="仿宋_GB2312" w:cs="仿宋_GB2312"/>
          <w:color w:val="auto"/>
          <w:sz w:val="28"/>
          <w:szCs w:val="28"/>
          <w:highlight w:val="none"/>
        </w:rPr>
        <w:t>4.1</w:t>
      </w:r>
      <w:r>
        <w:rPr>
          <w:rFonts w:hint="eastAsia" w:ascii="仿宋_GB2312" w:hAnsi="仿宋_GB2312" w:eastAsia="仿宋_GB2312" w:cs="仿宋_GB2312"/>
          <w:color w:val="auto"/>
          <w:sz w:val="28"/>
          <w:szCs w:val="28"/>
          <w:highlight w:val="none"/>
        </w:rPr>
        <w:t>磋商响应文件的份数和封装</w:t>
      </w:r>
    </w:p>
    <w:p>
      <w:pPr>
        <w:snapToGrid w:val="0"/>
        <w:spacing w:line="600" w:lineRule="exact"/>
        <w:ind w:firstLine="560" w:firstLineChars="200"/>
        <w:rPr>
          <w:color w:val="auto"/>
          <w:highlight w:val="none"/>
        </w:rPr>
      </w:pPr>
      <w:r>
        <w:rPr>
          <w:rFonts w:eastAsia="仿宋_GB2312"/>
          <w:color w:val="auto"/>
          <w:sz w:val="28"/>
          <w:szCs w:val="28"/>
          <w:highlight w:val="none"/>
        </w:rPr>
        <w:t>4.1.1磋商供应商应将竞争性磋商响应文件递交广西南博国际信息有限公司。</w:t>
      </w:r>
    </w:p>
    <w:p>
      <w:pPr>
        <w:snapToGrid w:val="0"/>
        <w:spacing w:line="600" w:lineRule="exact"/>
        <w:ind w:firstLine="560" w:firstLineChars="200"/>
        <w:rPr>
          <w:color w:val="auto"/>
          <w:highlight w:val="none"/>
        </w:rPr>
      </w:pPr>
      <w:r>
        <w:rPr>
          <w:rFonts w:eastAsia="仿宋_GB2312"/>
          <w:color w:val="auto"/>
          <w:sz w:val="28"/>
          <w:szCs w:val="28"/>
          <w:highlight w:val="none"/>
        </w:rPr>
        <w:t>4.1.2</w:t>
      </w:r>
      <w:r>
        <w:rPr>
          <w:rFonts w:hint="eastAsia" w:ascii="仿宋_GB2312" w:hAnsi="仿宋_GB2312" w:eastAsia="仿宋_GB2312" w:cs="仿宋_GB2312"/>
          <w:color w:val="auto"/>
          <w:sz w:val="28"/>
          <w:szCs w:val="28"/>
          <w:highlight w:val="none"/>
        </w:rPr>
        <w:t>竞争性磋商响应文件的外层包封上应写明：</w:t>
      </w:r>
    </w:p>
    <w:p>
      <w:pPr>
        <w:snapToGrid w:val="0"/>
        <w:spacing w:line="600" w:lineRule="exact"/>
        <w:ind w:firstLine="560" w:firstLineChars="200"/>
        <w:rPr>
          <w:color w:val="auto"/>
          <w:highlight w:val="none"/>
        </w:rPr>
      </w:pPr>
      <w:r>
        <w:rPr>
          <w:rFonts w:hint="eastAsia" w:eastAsia="仿宋_GB2312"/>
          <w:color w:val="auto"/>
          <w:sz w:val="28"/>
          <w:szCs w:val="28"/>
          <w:highlight w:val="none"/>
        </w:rPr>
        <w:t>(</w:t>
      </w:r>
      <w:r>
        <w:rPr>
          <w:rFonts w:eastAsia="仿宋_GB2312"/>
          <w:color w:val="auto"/>
          <w:sz w:val="28"/>
          <w:szCs w:val="28"/>
          <w:highlight w:val="none"/>
        </w:rPr>
        <w:t>1</w:t>
      </w: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竞争性磋商项目名称；</w:t>
      </w:r>
    </w:p>
    <w:p>
      <w:pPr>
        <w:snapToGrid w:val="0"/>
        <w:spacing w:line="600" w:lineRule="exact"/>
        <w:ind w:firstLine="560" w:firstLineChars="200"/>
        <w:rPr>
          <w:rFonts w:ascii="仿宋_GB2312" w:hAnsi="仿宋_GB2312" w:eastAsia="仿宋_GB2312" w:cs="仿宋_GB2312"/>
          <w:color w:val="auto"/>
          <w:sz w:val="28"/>
          <w:szCs w:val="28"/>
          <w:highlight w:val="none"/>
        </w:rPr>
      </w:pPr>
      <w:r>
        <w:rPr>
          <w:rFonts w:eastAsia="仿宋_GB2312"/>
          <w:color w:val="auto"/>
          <w:sz w:val="28"/>
          <w:szCs w:val="28"/>
          <w:highlight w:val="none"/>
        </w:rPr>
        <w:t>(2</w:t>
      </w:r>
      <w:r>
        <w:rPr>
          <w:rFonts w:hint="eastAsia" w:eastAsia="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磋商</w:t>
      </w:r>
      <w:r>
        <w:rPr>
          <w:rFonts w:ascii="仿宋_GB2312" w:hAnsi="仿宋_GB2312" w:eastAsia="仿宋_GB2312" w:cs="仿宋_GB2312"/>
          <w:color w:val="auto"/>
          <w:sz w:val="28"/>
          <w:szCs w:val="28"/>
          <w:highlight w:val="none"/>
        </w:rPr>
        <w:t>供应商</w:t>
      </w:r>
      <w:r>
        <w:rPr>
          <w:rFonts w:hint="eastAsia" w:ascii="仿宋_GB2312" w:hAnsi="仿宋_GB2312" w:eastAsia="仿宋_GB2312" w:cs="仿宋_GB2312"/>
          <w:color w:val="auto"/>
          <w:sz w:val="28"/>
          <w:szCs w:val="28"/>
          <w:highlight w:val="none"/>
        </w:rPr>
        <w:t>名称；</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(3</w:t>
      </w:r>
      <w:r>
        <w:rPr>
          <w:rFonts w:hint="eastAsia" w:eastAsia="仿宋_GB2312"/>
          <w:color w:val="auto"/>
          <w:sz w:val="28"/>
          <w:szCs w:val="28"/>
          <w:highlight w:val="none"/>
        </w:rPr>
        <w:t>)</w:t>
      </w:r>
      <w:r>
        <w:rPr>
          <w:rFonts w:eastAsia="仿宋_GB2312"/>
          <w:color w:val="auto"/>
          <w:sz w:val="28"/>
          <w:szCs w:val="28"/>
          <w:highlight w:val="none"/>
        </w:rPr>
        <w:t xml:space="preserve"> </w:t>
      </w:r>
      <w:r>
        <w:rPr>
          <w:rFonts w:hint="eastAsia" w:eastAsia="仿宋_GB2312"/>
          <w:color w:val="auto"/>
          <w:sz w:val="28"/>
          <w:szCs w:val="28"/>
          <w:highlight w:val="none"/>
        </w:rPr>
        <w:t>供应商地址；</w:t>
      </w:r>
    </w:p>
    <w:p>
      <w:pPr>
        <w:snapToGrid w:val="0"/>
        <w:spacing w:line="600" w:lineRule="exact"/>
        <w:ind w:firstLine="560" w:firstLineChars="200"/>
        <w:rPr>
          <w:rFonts w:hint="eastAsia" w:ascii="仿宋_GB2312" w:hAnsi="仿宋_GB2312" w:eastAsia="仿宋_GB2312" w:cs="仿宋_GB2312"/>
          <w:color w:val="auto"/>
          <w:sz w:val="28"/>
          <w:szCs w:val="28"/>
          <w:highlight w:val="none"/>
        </w:rPr>
      </w:pPr>
      <w:r>
        <w:rPr>
          <w:rFonts w:eastAsia="仿宋_GB2312"/>
          <w:color w:val="auto"/>
          <w:sz w:val="28"/>
          <w:szCs w:val="28"/>
          <w:highlight w:val="none"/>
        </w:rPr>
        <w:t>(4</w:t>
      </w:r>
      <w:r>
        <w:rPr>
          <w:rFonts w:hint="eastAsia" w:eastAsia="仿宋_GB2312"/>
          <w:color w:val="auto"/>
          <w:sz w:val="28"/>
          <w:szCs w:val="28"/>
          <w:highlight w:val="none"/>
        </w:rPr>
        <w:t>)</w:t>
      </w:r>
      <w:r>
        <w:rPr>
          <w:rFonts w:eastAsia="仿宋_GB2312"/>
          <w:color w:val="auto"/>
          <w:sz w:val="28"/>
          <w:szCs w:val="28"/>
          <w:highlight w:val="none"/>
        </w:rPr>
        <w:t xml:space="preserve"> </w:t>
      </w:r>
      <w:r>
        <w:rPr>
          <w:rFonts w:hint="eastAsia" w:ascii="宋体" w:hAnsi="宋体" w:eastAsia="仿宋_GB2312"/>
          <w:caps/>
          <w:color w:val="auto"/>
          <w:sz w:val="28"/>
          <w:szCs w:val="28"/>
          <w:highlight w:val="none"/>
        </w:rPr>
        <w:t>开</w:t>
      </w:r>
      <w:r>
        <w:rPr>
          <w:rFonts w:hint="eastAsia" w:ascii="仿宋_GB2312" w:hAnsi="仿宋_GB2312" w:eastAsia="仿宋_GB2312" w:cs="仿宋_GB2312"/>
          <w:color w:val="auto"/>
          <w:sz w:val="28"/>
          <w:szCs w:val="28"/>
          <w:highlight w:val="none"/>
        </w:rPr>
        <w:t>标时才能开启。</w:t>
      </w:r>
    </w:p>
    <w:p>
      <w:pPr>
        <w:snapToGrid w:val="0"/>
        <w:spacing w:line="600" w:lineRule="exact"/>
        <w:ind w:firstLine="562" w:firstLineChars="200"/>
        <w:rPr>
          <w:color w:val="auto"/>
          <w:highlight w:val="none"/>
        </w:rPr>
      </w:pPr>
      <w:r>
        <w:rPr>
          <w:rFonts w:ascii="仿宋_GB2312" w:hAnsi="仿宋_GB2312" w:eastAsia="仿宋_GB2312" w:cs="仿宋_GB2312"/>
          <w:b/>
          <w:bCs/>
          <w:caps/>
          <w:color w:val="auto"/>
          <w:sz w:val="28"/>
          <w:szCs w:val="28"/>
          <w:highlight w:val="none"/>
        </w:rPr>
        <w:t>4.2</w:t>
      </w:r>
      <w:r>
        <w:rPr>
          <w:rFonts w:hint="eastAsia" w:ascii="仿宋_GB2312" w:hAnsi="仿宋_GB2312" w:eastAsia="仿宋_GB2312" w:cs="仿宋_GB2312"/>
          <w:b/>
          <w:bCs/>
          <w:color w:val="auto"/>
          <w:sz w:val="28"/>
          <w:szCs w:val="28"/>
          <w:highlight w:val="none"/>
        </w:rPr>
        <w:t>竞争性磋商响应文件的递交</w:t>
      </w:r>
    </w:p>
    <w:p>
      <w:pPr>
        <w:snapToGrid w:val="0"/>
        <w:spacing w:line="600" w:lineRule="exact"/>
        <w:ind w:firstLine="560" w:firstLineChars="200"/>
        <w:rPr>
          <w:rFonts w:hint="eastAsia" w:eastAsia="仿宋_GB2312"/>
          <w:color w:val="auto"/>
          <w:highlight w:val="none"/>
        </w:rPr>
      </w:pPr>
      <w:r>
        <w:rPr>
          <w:rFonts w:hint="eastAsia" w:ascii="仿宋_GB2312" w:hAnsi="仿宋_GB2312" w:eastAsia="仿宋_GB2312" w:cs="仿宋_GB2312"/>
          <w:color w:val="auto"/>
          <w:sz w:val="28"/>
          <w:szCs w:val="28"/>
          <w:highlight w:val="none"/>
        </w:rPr>
        <w:t>所有竞争性磋商响应文件应于“第一章</w:t>
      </w:r>
      <w:r>
        <w:rPr>
          <w:rFonts w:ascii="仿宋_GB2312" w:hAnsi="仿宋_GB2312" w:eastAsia="仿宋_GB2312" w:cs="仿宋_GB2312"/>
          <w:color w:val="auto"/>
          <w:sz w:val="28"/>
          <w:szCs w:val="28"/>
          <w:highlight w:val="none"/>
        </w:rPr>
        <w:t xml:space="preserve"> </w:t>
      </w:r>
      <w:r>
        <w:rPr>
          <w:rFonts w:hint="eastAsia" w:ascii="仿宋_GB2312" w:hAnsi="仿宋_GB2312" w:eastAsia="仿宋_GB2312" w:cs="仿宋_GB2312"/>
          <w:color w:val="auto"/>
          <w:sz w:val="28"/>
          <w:szCs w:val="28"/>
          <w:highlight w:val="none"/>
        </w:rPr>
        <w:t>磋商邀请函”中规定的时间递交广西南博国际信息有限公司。</w:t>
      </w:r>
    </w:p>
    <w:p>
      <w:pPr>
        <w:snapToGrid w:val="0"/>
        <w:spacing w:line="600" w:lineRule="exact"/>
        <w:ind w:firstLine="562" w:firstLineChars="200"/>
        <w:rPr>
          <w:color w:val="auto"/>
          <w:highlight w:val="none"/>
        </w:rPr>
      </w:pPr>
      <w:r>
        <w:rPr>
          <w:rFonts w:ascii="仿宋_GB2312" w:hAnsi="仿宋_GB2312" w:eastAsia="仿宋_GB2312" w:cs="仿宋_GB2312"/>
          <w:b/>
          <w:bCs/>
          <w:caps/>
          <w:color w:val="auto"/>
          <w:sz w:val="28"/>
          <w:szCs w:val="28"/>
          <w:highlight w:val="none"/>
        </w:rPr>
        <w:t>4.3</w:t>
      </w:r>
      <w:r>
        <w:rPr>
          <w:rFonts w:hint="eastAsia" w:ascii="仿宋_GB2312" w:hAnsi="仿宋_GB2312" w:eastAsia="仿宋_GB2312" w:cs="仿宋_GB2312"/>
          <w:b/>
          <w:bCs/>
          <w:color w:val="auto"/>
          <w:sz w:val="28"/>
          <w:szCs w:val="28"/>
          <w:highlight w:val="none"/>
        </w:rPr>
        <w:t>迟交的竞争性磋商响应文件</w:t>
      </w:r>
    </w:p>
    <w:p>
      <w:pPr>
        <w:snapToGrid w:val="0"/>
        <w:spacing w:line="600" w:lineRule="exact"/>
        <w:ind w:firstLine="560" w:firstLineChars="200"/>
        <w:rPr>
          <w:color w:val="auto"/>
          <w:highlight w:val="none"/>
        </w:rPr>
      </w:pPr>
      <w:r>
        <w:rPr>
          <w:rFonts w:hint="eastAsia" w:ascii="仿宋_GB2312" w:hAnsi="仿宋_GB2312" w:eastAsia="仿宋_GB2312" w:cs="仿宋_GB2312"/>
          <w:color w:val="auto"/>
          <w:sz w:val="28"/>
          <w:szCs w:val="28"/>
          <w:highlight w:val="none"/>
        </w:rPr>
        <w:t>采购单位将拒绝或原封退回在其规定的递交竞争性磋商响应文件截止时间之后收到的任何竞争性磋商响应文件。</w:t>
      </w:r>
    </w:p>
    <w:p>
      <w:pPr>
        <w:snapToGrid w:val="0"/>
        <w:spacing w:line="600" w:lineRule="exact"/>
        <w:ind w:firstLine="560" w:firstLineChars="200"/>
        <w:outlineLvl w:val="1"/>
        <w:rPr>
          <w:color w:val="auto"/>
          <w:highlight w:val="none"/>
        </w:rPr>
      </w:pPr>
      <w:bookmarkStart w:id="10" w:name="_Toc17194"/>
      <w:r>
        <w:rPr>
          <w:rFonts w:hint="eastAsia" w:eastAsia="黑体"/>
          <w:bCs/>
          <w:color w:val="auto"/>
          <w:sz w:val="28"/>
          <w:szCs w:val="28"/>
          <w:highlight w:val="none"/>
        </w:rPr>
        <w:t>五、磋商</w:t>
      </w:r>
      <w:bookmarkEnd w:id="10"/>
      <w:r>
        <w:rPr>
          <w:rFonts w:eastAsia="黑体"/>
          <w:bCs/>
          <w:color w:val="auto"/>
          <w:sz w:val="28"/>
          <w:szCs w:val="28"/>
          <w:highlight w:val="none"/>
        </w:rPr>
        <w:t>与评标</w:t>
      </w:r>
    </w:p>
    <w:p>
      <w:pPr>
        <w:snapToGrid w:val="0"/>
        <w:spacing w:line="600" w:lineRule="exact"/>
        <w:ind w:firstLine="560" w:firstLineChars="200"/>
        <w:rPr>
          <w:rFonts w:eastAsia="仿宋_GB2312"/>
          <w:color w:val="auto"/>
          <w:sz w:val="28"/>
          <w:szCs w:val="28"/>
          <w:highlight w:val="none"/>
        </w:rPr>
      </w:pPr>
      <w:r>
        <w:rPr>
          <w:rFonts w:eastAsia="微软雅黑"/>
          <w:color w:val="auto"/>
          <w:sz w:val="28"/>
          <w:szCs w:val="28"/>
          <w:highlight w:val="none"/>
          <w:shd w:val="clear" w:color="auto" w:fill="FFFFFF"/>
        </w:rPr>
        <w:t>5.1</w:t>
      </w:r>
      <w:r>
        <w:rPr>
          <w:rFonts w:hint="eastAsia" w:ascii="仿宋_GB2312" w:hAnsi="仿宋_GB2312" w:eastAsia="仿宋_GB2312" w:cs="仿宋_GB2312"/>
          <w:color w:val="auto"/>
          <w:sz w:val="28"/>
          <w:szCs w:val="28"/>
          <w:highlight w:val="none"/>
        </w:rPr>
        <w:t>投标文件属下列情况之一的，应当在资格性、符合性检查时按照无效投标处理：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(1</w:t>
      </w:r>
      <w:r>
        <w:rPr>
          <w:rFonts w:hint="eastAsia" w:eastAsia="仿宋_GB2312"/>
          <w:color w:val="auto"/>
          <w:sz w:val="28"/>
          <w:szCs w:val="28"/>
          <w:highlight w:val="none"/>
        </w:rPr>
        <w:t xml:space="preserve">) </w:t>
      </w:r>
      <w:r>
        <w:rPr>
          <w:rFonts w:eastAsia="仿宋_GB2312"/>
          <w:color w:val="auto"/>
          <w:sz w:val="28"/>
          <w:szCs w:val="28"/>
          <w:highlight w:val="none"/>
        </w:rPr>
        <w:t>未交应交投标保证金的；</w:t>
      </w:r>
    </w:p>
    <w:p>
      <w:pPr>
        <w:snapToGrid w:val="0"/>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2</w:t>
      </w:r>
      <w:r>
        <w:rPr>
          <w:rFonts w:hint="eastAsia" w:eastAsia="仿宋_GB2312"/>
          <w:color w:val="auto"/>
          <w:sz w:val="28"/>
          <w:szCs w:val="28"/>
          <w:highlight w:val="none"/>
        </w:rPr>
        <w:t xml:space="preserve">) </w:t>
      </w:r>
      <w:r>
        <w:rPr>
          <w:rFonts w:eastAsia="仿宋_GB2312"/>
          <w:color w:val="auto"/>
          <w:sz w:val="28"/>
          <w:szCs w:val="28"/>
          <w:highlight w:val="none"/>
        </w:rPr>
        <w:t>未按照招标文件规定要求密封、签署、盖章的；</w:t>
      </w:r>
    </w:p>
    <w:p>
      <w:pPr>
        <w:snapToGrid w:val="0"/>
        <w:spacing w:line="600" w:lineRule="exact"/>
        <w:ind w:firstLine="560" w:firstLineChars="200"/>
        <w:rPr>
          <w:rFonts w:hint="eastAsia"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3</w:t>
      </w:r>
      <w:r>
        <w:rPr>
          <w:rFonts w:hint="eastAsia" w:eastAsia="仿宋_GB2312"/>
          <w:color w:val="auto"/>
          <w:sz w:val="28"/>
          <w:szCs w:val="28"/>
          <w:highlight w:val="none"/>
        </w:rPr>
        <w:t xml:space="preserve">) </w:t>
      </w:r>
      <w:r>
        <w:rPr>
          <w:rFonts w:eastAsia="仿宋_GB2312"/>
          <w:color w:val="auto"/>
          <w:sz w:val="28"/>
          <w:szCs w:val="28"/>
          <w:highlight w:val="none"/>
        </w:rPr>
        <w:t>联合体投标未附联合体各方共同投标协议的</w:t>
      </w:r>
      <w:r>
        <w:rPr>
          <w:rFonts w:hint="eastAsia" w:eastAsia="仿宋_GB2312"/>
          <w:color w:val="auto"/>
          <w:sz w:val="28"/>
          <w:szCs w:val="28"/>
          <w:highlight w:val="none"/>
        </w:rPr>
        <w:t>；</w:t>
      </w:r>
    </w:p>
    <w:p>
      <w:pPr>
        <w:snapToGrid w:val="0"/>
        <w:spacing w:line="600" w:lineRule="exact"/>
        <w:ind w:firstLine="560" w:firstLineChars="200"/>
        <w:rPr>
          <w:rFonts w:eastAsia="仿宋_GB2312"/>
          <w:color w:val="auto"/>
          <w:sz w:val="28"/>
          <w:szCs w:val="28"/>
          <w:highlight w:val="none"/>
        </w:rPr>
      </w:pPr>
      <w:r>
        <w:rPr>
          <w:rFonts w:hint="eastAsia" w:eastAsia="仿宋_GB2312"/>
          <w:color w:val="auto"/>
          <w:sz w:val="28"/>
          <w:szCs w:val="28"/>
          <w:highlight w:val="none"/>
        </w:rPr>
        <w:t>(</w:t>
      </w:r>
      <w:r>
        <w:rPr>
          <w:rFonts w:eastAsia="仿宋_GB2312"/>
          <w:color w:val="auto"/>
          <w:sz w:val="28"/>
          <w:szCs w:val="28"/>
          <w:highlight w:val="none"/>
        </w:rPr>
        <w:t>4</w:t>
      </w:r>
      <w:r>
        <w:rPr>
          <w:rFonts w:hint="eastAsia" w:eastAsia="仿宋_GB2312"/>
          <w:color w:val="auto"/>
          <w:sz w:val="28"/>
          <w:szCs w:val="28"/>
          <w:highlight w:val="none"/>
        </w:rPr>
        <w:t xml:space="preserve">) </w:t>
      </w:r>
      <w:r>
        <w:rPr>
          <w:rFonts w:eastAsia="仿宋_GB2312"/>
          <w:color w:val="auto"/>
          <w:sz w:val="28"/>
          <w:szCs w:val="28"/>
          <w:highlight w:val="none"/>
        </w:rPr>
        <w:t>不符合法律、法规和招标文件中规定的其他实质性要求的。投标文件属下列情况之一的，应当在资格性、符合性检查时按照无效投标处理</w:t>
      </w:r>
      <w:bookmarkStart w:id="11" w:name="_Toc10608"/>
      <w:r>
        <w:rPr>
          <w:rFonts w:hint="eastAsia" w:eastAsia="仿宋_GB2312"/>
          <w:color w:val="auto"/>
          <w:sz w:val="28"/>
          <w:szCs w:val="28"/>
          <w:highlight w:val="none"/>
        </w:rPr>
        <w:t>。</w:t>
      </w:r>
      <w:r>
        <w:rPr>
          <w:rFonts w:eastAsia="仿宋_GB2312"/>
          <w:color w:val="auto"/>
          <w:sz w:val="28"/>
          <w:szCs w:val="28"/>
          <w:highlight w:val="none"/>
        </w:rPr>
        <w:t>5.</w:t>
      </w:r>
      <w:r>
        <w:rPr>
          <w:rFonts w:hint="eastAsia" w:eastAsia="仿宋_GB2312"/>
          <w:color w:val="auto"/>
          <w:sz w:val="28"/>
          <w:szCs w:val="28"/>
          <w:highlight w:val="none"/>
        </w:rPr>
        <w:t>2 开标</w:t>
      </w:r>
      <w:bookmarkEnd w:id="11"/>
      <w:r>
        <w:rPr>
          <w:rFonts w:hint="eastAsia" w:eastAsia="仿宋_GB2312"/>
          <w:color w:val="auto"/>
          <w:sz w:val="28"/>
          <w:szCs w:val="28"/>
          <w:highlight w:val="none"/>
        </w:rPr>
        <w:t>采购单位按第一章</w:t>
      </w:r>
      <w:r>
        <w:rPr>
          <w:rFonts w:eastAsia="仿宋_GB2312"/>
          <w:color w:val="auto"/>
          <w:sz w:val="28"/>
          <w:szCs w:val="28"/>
          <w:highlight w:val="none"/>
        </w:rPr>
        <w:t>“</w:t>
      </w:r>
      <w:r>
        <w:rPr>
          <w:rFonts w:hint="eastAsia" w:eastAsia="仿宋_GB2312"/>
          <w:color w:val="auto"/>
          <w:sz w:val="28"/>
          <w:szCs w:val="28"/>
          <w:highlight w:val="none"/>
        </w:rPr>
        <w:t>竞争性磋商邀请书</w:t>
      </w:r>
      <w:r>
        <w:rPr>
          <w:rFonts w:eastAsia="仿宋_GB2312"/>
          <w:color w:val="auto"/>
          <w:sz w:val="28"/>
          <w:szCs w:val="28"/>
          <w:highlight w:val="none"/>
        </w:rPr>
        <w:t>”</w:t>
      </w:r>
      <w:r>
        <w:rPr>
          <w:rFonts w:hint="eastAsia" w:eastAsia="仿宋_GB2312"/>
          <w:color w:val="auto"/>
          <w:sz w:val="28"/>
          <w:szCs w:val="28"/>
          <w:highlight w:val="none"/>
        </w:rPr>
        <w:t>中约定的磋商时间及地点组织参与磋商的</w:t>
      </w:r>
      <w:r>
        <w:rPr>
          <w:rFonts w:eastAsia="仿宋_GB2312"/>
          <w:color w:val="auto"/>
          <w:sz w:val="28"/>
          <w:szCs w:val="28"/>
          <w:highlight w:val="none"/>
        </w:rPr>
        <w:t>供应商</w:t>
      </w:r>
      <w:r>
        <w:rPr>
          <w:rFonts w:hint="eastAsia" w:eastAsia="仿宋_GB2312"/>
          <w:color w:val="auto"/>
          <w:sz w:val="28"/>
          <w:szCs w:val="28"/>
          <w:highlight w:val="none"/>
        </w:rPr>
        <w:t>召开开标会议，对本次磋商事项进行简要说明，并当众拆封磋商响应文件，审查</w:t>
      </w:r>
      <w:r>
        <w:rPr>
          <w:rFonts w:eastAsia="仿宋_GB2312"/>
          <w:color w:val="auto"/>
          <w:sz w:val="28"/>
          <w:szCs w:val="28"/>
          <w:highlight w:val="none"/>
        </w:rPr>
        <w:t>磋商</w:t>
      </w:r>
      <w:r>
        <w:rPr>
          <w:rFonts w:hint="eastAsia" w:eastAsia="仿宋_GB2312"/>
          <w:color w:val="auto"/>
          <w:sz w:val="28"/>
          <w:szCs w:val="28"/>
          <w:highlight w:val="none"/>
        </w:rPr>
        <w:t>供应商的相关资质。</w:t>
      </w:r>
    </w:p>
    <w:p>
      <w:pPr>
        <w:snapToGrid w:val="0"/>
        <w:spacing w:line="600" w:lineRule="exact"/>
        <w:ind w:firstLine="560" w:firstLineChars="200"/>
        <w:rPr>
          <w:rFonts w:eastAsia="仿宋_GB2312"/>
          <w:color w:val="auto"/>
          <w:sz w:val="28"/>
          <w:szCs w:val="28"/>
          <w:highlight w:val="none"/>
        </w:rPr>
      </w:pPr>
      <w:bookmarkStart w:id="12" w:name="_Toc3085"/>
      <w:r>
        <w:rPr>
          <w:rFonts w:eastAsia="仿宋_GB2312"/>
          <w:color w:val="auto"/>
          <w:sz w:val="28"/>
          <w:szCs w:val="28"/>
          <w:highlight w:val="none"/>
        </w:rPr>
        <w:t>5.</w:t>
      </w:r>
      <w:r>
        <w:rPr>
          <w:rFonts w:hint="eastAsia" w:eastAsia="仿宋_GB2312"/>
          <w:color w:val="auto"/>
          <w:sz w:val="28"/>
          <w:szCs w:val="28"/>
          <w:highlight w:val="none"/>
        </w:rPr>
        <w:t>3 磋商</w:t>
      </w:r>
      <w:bookmarkEnd w:id="12"/>
      <w:r>
        <w:rPr>
          <w:rFonts w:hint="eastAsia" w:eastAsia="仿宋_GB2312"/>
          <w:color w:val="auto"/>
          <w:sz w:val="28"/>
          <w:szCs w:val="28"/>
          <w:highlight w:val="none"/>
        </w:rPr>
        <w:t>采购单位成立磋商小组，按</w:t>
      </w:r>
      <w:r>
        <w:rPr>
          <w:rFonts w:eastAsia="仿宋_GB2312"/>
          <w:color w:val="auto"/>
          <w:sz w:val="28"/>
          <w:szCs w:val="28"/>
          <w:highlight w:val="none"/>
        </w:rPr>
        <w:t>磋商供应商</w:t>
      </w:r>
      <w:r>
        <w:rPr>
          <w:rFonts w:hint="eastAsia" w:eastAsia="仿宋_GB2312"/>
          <w:color w:val="auto"/>
          <w:sz w:val="28"/>
          <w:szCs w:val="28"/>
          <w:highlight w:val="none"/>
        </w:rPr>
        <w:t>的签到顺序与单一</w:t>
      </w:r>
      <w:r>
        <w:rPr>
          <w:rFonts w:eastAsia="仿宋_GB2312"/>
          <w:color w:val="auto"/>
          <w:sz w:val="28"/>
          <w:szCs w:val="28"/>
          <w:highlight w:val="none"/>
        </w:rPr>
        <w:t>磋商供应商</w:t>
      </w:r>
      <w:r>
        <w:rPr>
          <w:rFonts w:hint="eastAsia" w:eastAsia="仿宋_GB2312"/>
          <w:color w:val="auto"/>
          <w:sz w:val="28"/>
          <w:szCs w:val="28"/>
          <w:highlight w:val="none"/>
        </w:rPr>
        <w:t>分别就符合论坛执行等内容进行磋商。</w:t>
      </w:r>
    </w:p>
    <w:p>
      <w:pPr>
        <w:snapToGrid w:val="0"/>
        <w:spacing w:line="600" w:lineRule="exact"/>
        <w:ind w:firstLine="560" w:firstLineChars="200"/>
        <w:rPr>
          <w:color w:val="auto"/>
          <w:highlight w:val="none"/>
        </w:rPr>
      </w:pPr>
      <w:r>
        <w:rPr>
          <w:rFonts w:hint="eastAsia" w:eastAsia="仿宋_GB2312"/>
          <w:color w:val="auto"/>
          <w:sz w:val="28"/>
          <w:szCs w:val="28"/>
          <w:highlight w:val="none"/>
        </w:rPr>
        <w:t>磋商中，磋商的任何一方不得透露与磋商有关的其他供</w:t>
      </w:r>
      <w:r>
        <w:rPr>
          <w:rFonts w:eastAsia="仿宋_GB2312"/>
          <w:color w:val="auto"/>
          <w:sz w:val="28"/>
          <w:szCs w:val="28"/>
          <w:highlight w:val="none"/>
        </w:rPr>
        <w:t>磋商供应商</w:t>
      </w:r>
      <w:r>
        <w:rPr>
          <w:rFonts w:hint="eastAsia" w:eastAsia="仿宋_GB2312"/>
          <w:color w:val="auto"/>
          <w:sz w:val="28"/>
          <w:szCs w:val="28"/>
          <w:highlight w:val="none"/>
        </w:rPr>
        <w:t>的技术资料、价格和其他信息。</w:t>
      </w:r>
    </w:p>
    <w:p>
      <w:pPr>
        <w:snapToGrid w:val="0"/>
        <w:spacing w:line="600" w:lineRule="exact"/>
        <w:ind w:firstLine="560" w:firstLineChars="200"/>
        <w:rPr>
          <w:color w:val="auto"/>
          <w:highlight w:val="none"/>
        </w:rPr>
      </w:pPr>
      <w:r>
        <w:rPr>
          <w:rFonts w:hint="eastAsia" w:eastAsia="仿宋_GB2312"/>
          <w:color w:val="auto"/>
          <w:sz w:val="28"/>
          <w:szCs w:val="28"/>
          <w:highlight w:val="none"/>
        </w:rPr>
        <w:t>采购单位对磋商过程和重要磋商内容进行记录，磋商双方在磋商结果上签字确认。</w:t>
      </w:r>
    </w:p>
    <w:p>
      <w:pPr>
        <w:snapToGrid w:val="0"/>
        <w:spacing w:line="600" w:lineRule="exact"/>
        <w:ind w:firstLine="560" w:firstLineChars="200"/>
        <w:outlineLvl w:val="1"/>
        <w:rPr>
          <w:color w:val="auto"/>
          <w:highlight w:val="none"/>
        </w:rPr>
      </w:pPr>
      <w:bookmarkStart w:id="13" w:name="_Toc1440"/>
      <w:r>
        <w:rPr>
          <w:rFonts w:hint="eastAsia" w:eastAsia="黑体"/>
          <w:bCs/>
          <w:color w:val="auto"/>
          <w:sz w:val="28"/>
          <w:szCs w:val="28"/>
          <w:highlight w:val="none"/>
        </w:rPr>
        <w:t>六、确定成交</w:t>
      </w:r>
      <w:r>
        <w:rPr>
          <w:rFonts w:eastAsia="黑体"/>
          <w:bCs/>
          <w:color w:val="auto"/>
          <w:sz w:val="28"/>
          <w:szCs w:val="28"/>
          <w:highlight w:val="none"/>
        </w:rPr>
        <w:t>磋商供应商</w:t>
      </w:r>
      <w:r>
        <w:rPr>
          <w:rFonts w:hint="eastAsia" w:eastAsia="黑体"/>
          <w:bCs/>
          <w:color w:val="auto"/>
          <w:sz w:val="28"/>
          <w:szCs w:val="28"/>
          <w:highlight w:val="none"/>
        </w:rPr>
        <w:t>办法</w:t>
      </w:r>
      <w:bookmarkEnd w:id="13"/>
    </w:p>
    <w:p>
      <w:pPr>
        <w:snapToGrid w:val="0"/>
        <w:spacing w:line="600" w:lineRule="exact"/>
        <w:ind w:firstLine="560" w:firstLineChars="200"/>
        <w:rPr>
          <w:color w:val="auto"/>
          <w:highlight w:val="none"/>
        </w:rPr>
      </w:pPr>
      <w:r>
        <w:rPr>
          <w:rFonts w:eastAsia="仿宋_GB2312"/>
          <w:color w:val="auto"/>
          <w:sz w:val="28"/>
          <w:szCs w:val="28"/>
          <w:highlight w:val="none"/>
        </w:rPr>
        <w:t>6.1</w:t>
      </w:r>
      <w:r>
        <w:rPr>
          <w:rFonts w:hint="eastAsia" w:eastAsia="仿宋_GB2312"/>
          <w:color w:val="auto"/>
          <w:sz w:val="28"/>
          <w:szCs w:val="28"/>
          <w:highlight w:val="none"/>
        </w:rPr>
        <w:t>采购单位磋商小组根据符合论坛执行项目综合评分法确定成交</w:t>
      </w:r>
      <w:r>
        <w:rPr>
          <w:rFonts w:eastAsia="仿宋_GB2312"/>
          <w:color w:val="auto"/>
          <w:sz w:val="28"/>
          <w:szCs w:val="28"/>
          <w:highlight w:val="none"/>
        </w:rPr>
        <w:t>磋商供应商</w:t>
      </w:r>
      <w:r>
        <w:rPr>
          <w:rFonts w:hint="eastAsia" w:eastAsia="仿宋_GB2312"/>
          <w:color w:val="auto"/>
          <w:sz w:val="28"/>
          <w:szCs w:val="28"/>
          <w:highlight w:val="none"/>
        </w:rPr>
        <w:t>，并将评标结果按采购单位的审批流程报批。</w:t>
      </w:r>
    </w:p>
    <w:p>
      <w:pPr>
        <w:snapToGrid w:val="0"/>
        <w:spacing w:line="600" w:lineRule="exact"/>
        <w:ind w:firstLine="560" w:firstLineChars="200"/>
        <w:rPr>
          <w:color w:val="auto"/>
          <w:highlight w:val="none"/>
        </w:rPr>
      </w:pPr>
      <w:r>
        <w:rPr>
          <w:rFonts w:eastAsia="仿宋_GB2312"/>
          <w:color w:val="auto"/>
          <w:sz w:val="28"/>
          <w:szCs w:val="28"/>
          <w:highlight w:val="none"/>
        </w:rPr>
        <w:t>6.2</w:t>
      </w:r>
      <w:r>
        <w:rPr>
          <w:rFonts w:hint="eastAsia" w:eastAsia="仿宋_GB2312"/>
          <w:color w:val="auto"/>
          <w:sz w:val="28"/>
          <w:szCs w:val="28"/>
          <w:highlight w:val="none"/>
        </w:rPr>
        <w:t>采购单位在评标结果批复后向参与磋商的</w:t>
      </w:r>
      <w:r>
        <w:rPr>
          <w:rFonts w:eastAsia="仿宋_GB2312"/>
          <w:color w:val="auto"/>
          <w:sz w:val="28"/>
          <w:szCs w:val="28"/>
          <w:highlight w:val="none"/>
        </w:rPr>
        <w:t>磋商供应商</w:t>
      </w:r>
      <w:r>
        <w:rPr>
          <w:rFonts w:hint="eastAsia" w:eastAsia="仿宋_GB2312"/>
          <w:color w:val="auto"/>
          <w:sz w:val="28"/>
          <w:szCs w:val="28"/>
          <w:highlight w:val="none"/>
        </w:rPr>
        <w:t>发送评标结果告知函。</w:t>
      </w:r>
    </w:p>
    <w:p>
      <w:pPr>
        <w:snapToGrid w:val="0"/>
        <w:spacing w:line="600" w:lineRule="exact"/>
        <w:ind w:firstLine="560" w:firstLineChars="200"/>
        <w:outlineLvl w:val="1"/>
        <w:rPr>
          <w:color w:val="auto"/>
          <w:highlight w:val="none"/>
        </w:rPr>
      </w:pPr>
      <w:bookmarkStart w:id="14" w:name="_Toc20377"/>
      <w:r>
        <w:rPr>
          <w:rFonts w:hint="eastAsia" w:eastAsia="黑体"/>
          <w:bCs/>
          <w:color w:val="auto"/>
          <w:sz w:val="28"/>
          <w:szCs w:val="28"/>
          <w:highlight w:val="none"/>
        </w:rPr>
        <w:t>七、签订合同</w:t>
      </w:r>
      <w:bookmarkEnd w:id="14"/>
    </w:p>
    <w:p>
      <w:pPr>
        <w:snapToGrid w:val="0"/>
        <w:spacing w:line="600" w:lineRule="exact"/>
        <w:ind w:firstLine="562" w:firstLineChars="200"/>
        <w:rPr>
          <w:rFonts w:hint="eastAsia" w:ascii="仿宋_GB2312" w:hAnsi="仿宋_GB2312" w:eastAsia="仿宋_GB2312" w:cs="仿宋_GB2312"/>
          <w:b/>
          <w:bCs/>
          <w:caps/>
          <w:color w:val="auto"/>
          <w:sz w:val="28"/>
          <w:szCs w:val="28"/>
          <w:highlight w:val="none"/>
        </w:rPr>
      </w:pPr>
      <w:r>
        <w:rPr>
          <w:rFonts w:ascii="仿宋_GB2312" w:hAnsi="仿宋_GB2312" w:eastAsia="仿宋_GB2312" w:cs="仿宋_GB2312"/>
          <w:b/>
          <w:bCs/>
          <w:caps/>
          <w:color w:val="auto"/>
          <w:sz w:val="28"/>
          <w:szCs w:val="28"/>
          <w:highlight w:val="none"/>
        </w:rPr>
        <w:t>7</w:t>
      </w:r>
      <w:r>
        <w:rPr>
          <w:rFonts w:hint="eastAsia" w:ascii="仿宋_GB2312" w:hAnsi="仿宋_GB2312" w:eastAsia="仿宋_GB2312" w:cs="仿宋_GB2312"/>
          <w:b/>
          <w:bCs/>
          <w:caps/>
          <w:color w:val="auto"/>
          <w:sz w:val="28"/>
          <w:szCs w:val="28"/>
          <w:highlight w:val="none"/>
        </w:rPr>
        <w:t>.</w:t>
      </w:r>
      <w:r>
        <w:rPr>
          <w:rFonts w:ascii="仿宋_GB2312" w:hAnsi="仿宋_GB2312" w:eastAsia="仿宋_GB2312" w:cs="仿宋_GB2312"/>
          <w:b/>
          <w:bCs/>
          <w:caps/>
          <w:color w:val="auto"/>
          <w:sz w:val="28"/>
          <w:szCs w:val="28"/>
          <w:highlight w:val="none"/>
        </w:rPr>
        <w:t>1</w:t>
      </w:r>
      <w:r>
        <w:rPr>
          <w:rFonts w:hint="eastAsia" w:ascii="仿宋_GB2312" w:hAnsi="仿宋_GB2312" w:eastAsia="仿宋_GB2312" w:cs="仿宋_GB2312"/>
          <w:b/>
          <w:bCs/>
          <w:caps/>
          <w:color w:val="auto"/>
          <w:sz w:val="28"/>
          <w:szCs w:val="28"/>
          <w:highlight w:val="none"/>
        </w:rPr>
        <w:t>成交通知</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7.1.1采购单位在三个工作日内将竞标结果报告中推荐的排名第一的成交候选供应商确定为成交供应商。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7.1.2采购单位在网页上发布成交公告。</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7.1.3采购单位无义务向未成交的供应商解释未成交原因和退还响应文件。</w:t>
      </w:r>
    </w:p>
    <w:p>
      <w:pPr>
        <w:pStyle w:val="12"/>
        <w:snapToGrid w:val="0"/>
        <w:spacing w:line="600" w:lineRule="exact"/>
        <w:ind w:firstLine="420"/>
        <w:rPr>
          <w:color w:val="auto"/>
          <w:sz w:val="28"/>
          <w:szCs w:val="28"/>
          <w:highlight w:val="none"/>
        </w:rPr>
      </w:pPr>
      <w:r>
        <w:rPr>
          <w:rFonts w:ascii="仿宋_GB2312" w:hAnsi="仿宋_GB2312" w:eastAsia="仿宋_GB2312" w:cs="仿宋_GB2312"/>
          <w:b/>
          <w:bCs/>
          <w:caps/>
          <w:color w:val="auto"/>
          <w:sz w:val="28"/>
          <w:szCs w:val="28"/>
          <w:highlight w:val="none"/>
        </w:rPr>
        <w:t>7.2合同授予标准</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合同将授予被确定为实质上响应</w:t>
      </w:r>
      <w:r>
        <w:rPr>
          <w:rFonts w:hint="eastAsia" w:eastAsia="仿宋_GB2312"/>
          <w:color w:val="auto"/>
          <w:sz w:val="28"/>
          <w:szCs w:val="28"/>
          <w:highlight w:val="none"/>
        </w:rPr>
        <w:t>采购方</w:t>
      </w:r>
      <w:r>
        <w:rPr>
          <w:rFonts w:eastAsia="仿宋_GB2312"/>
          <w:color w:val="auto"/>
          <w:sz w:val="28"/>
          <w:szCs w:val="28"/>
          <w:highlight w:val="none"/>
        </w:rPr>
        <w:t>需求，具备履行合同能力，成交结果报告中推荐的排名第一的成交候选供应商。</w:t>
      </w:r>
    </w:p>
    <w:p>
      <w:pPr>
        <w:pStyle w:val="12"/>
        <w:snapToGrid w:val="0"/>
        <w:spacing w:line="600" w:lineRule="exact"/>
        <w:ind w:firstLine="420"/>
        <w:rPr>
          <w:rFonts w:ascii="仿宋_GB2312" w:hAnsi="仿宋_GB2312" w:eastAsia="仿宋_GB2312" w:cs="仿宋_GB2312"/>
          <w:b/>
          <w:bCs/>
          <w:caps/>
          <w:color w:val="auto"/>
          <w:sz w:val="28"/>
          <w:szCs w:val="28"/>
          <w:highlight w:val="none"/>
        </w:rPr>
      </w:pPr>
      <w:r>
        <w:rPr>
          <w:rFonts w:ascii="仿宋_GB2312" w:hAnsi="仿宋_GB2312" w:eastAsia="仿宋_GB2312" w:cs="仿宋_GB2312"/>
          <w:b/>
          <w:bCs/>
          <w:caps/>
          <w:color w:val="auto"/>
          <w:sz w:val="28"/>
          <w:szCs w:val="28"/>
          <w:highlight w:val="none"/>
        </w:rPr>
        <w:t>7.3签订合同</w:t>
      </w:r>
    </w:p>
    <w:p>
      <w:pPr>
        <w:snapToGrid w:val="0"/>
        <w:spacing w:line="600" w:lineRule="exact"/>
        <w:ind w:firstLine="560" w:firstLineChars="200"/>
        <w:rPr>
          <w:rFonts w:eastAsia="仿宋_GB2312"/>
          <w:color w:val="auto"/>
          <w:sz w:val="28"/>
          <w:szCs w:val="28"/>
          <w:highlight w:val="none"/>
        </w:rPr>
      </w:pPr>
      <w:r>
        <w:rPr>
          <w:rFonts w:eastAsia="仿宋_GB2312"/>
          <w:color w:val="auto"/>
          <w:sz w:val="28"/>
          <w:szCs w:val="28"/>
          <w:highlight w:val="none"/>
        </w:rPr>
        <w:t>7.3.1成交供应商应及时与</w:t>
      </w:r>
      <w:r>
        <w:rPr>
          <w:rFonts w:hint="eastAsia" w:eastAsia="仿宋_GB2312"/>
          <w:color w:val="auto"/>
          <w:sz w:val="28"/>
          <w:szCs w:val="28"/>
          <w:highlight w:val="none"/>
        </w:rPr>
        <w:t>采购方</w:t>
      </w:r>
      <w:r>
        <w:rPr>
          <w:rFonts w:eastAsia="仿宋_GB2312"/>
          <w:color w:val="auto"/>
          <w:sz w:val="28"/>
          <w:szCs w:val="28"/>
          <w:highlight w:val="none"/>
        </w:rPr>
        <w:t>签订合同。</w:t>
      </w:r>
    </w:p>
    <w:p>
      <w:pPr>
        <w:snapToGrid w:val="0"/>
        <w:spacing w:line="600" w:lineRule="exact"/>
        <w:ind w:firstLine="560" w:firstLineChars="200"/>
        <w:rPr>
          <w:rFonts w:hint="eastAsia" w:eastAsia="仿宋_GB2312"/>
          <w:color w:val="auto"/>
          <w:sz w:val="28"/>
          <w:szCs w:val="28"/>
          <w:highlight w:val="none"/>
        </w:rPr>
      </w:pPr>
      <w:r>
        <w:rPr>
          <w:rFonts w:eastAsia="仿宋_GB2312"/>
          <w:color w:val="auto"/>
          <w:sz w:val="28"/>
          <w:szCs w:val="28"/>
          <w:highlight w:val="none"/>
        </w:rPr>
        <w:t>7.3.2成交供应商因不可抗力或者自身原因不能履行合同的，</w:t>
      </w:r>
      <w:r>
        <w:rPr>
          <w:rFonts w:hint="eastAsia" w:eastAsia="仿宋_GB2312"/>
          <w:color w:val="auto"/>
          <w:sz w:val="28"/>
          <w:szCs w:val="28"/>
          <w:highlight w:val="none"/>
        </w:rPr>
        <w:t>采购方</w:t>
      </w:r>
      <w:r>
        <w:rPr>
          <w:rFonts w:eastAsia="仿宋_GB2312"/>
          <w:color w:val="auto"/>
          <w:sz w:val="28"/>
          <w:szCs w:val="28"/>
          <w:highlight w:val="none"/>
        </w:rPr>
        <w:t>可</w:t>
      </w:r>
      <w:r>
        <w:rPr>
          <w:rFonts w:hint="eastAsia" w:eastAsia="仿宋_GB2312"/>
          <w:color w:val="auto"/>
          <w:sz w:val="28"/>
          <w:szCs w:val="28"/>
          <w:highlight w:val="none"/>
        </w:rPr>
        <w:t>以与排名第二的成交候选供应商签订合同，以此类推。</w:t>
      </w:r>
    </w:p>
    <w:p>
      <w:pPr>
        <w:pStyle w:val="31"/>
        <w:snapToGrid w:val="0"/>
        <w:spacing w:line="600" w:lineRule="exact"/>
        <w:rPr>
          <w:color w:val="auto"/>
          <w:highlight w:val="none"/>
        </w:rPr>
        <w:sectPr>
          <w:footerReference r:id="rId10" w:type="default"/>
          <w:pgSz w:w="11906" w:h="16838"/>
          <w:pgMar w:top="1418" w:right="1418" w:bottom="1418" w:left="1418" w:header="851" w:footer="992" w:gutter="0"/>
          <w:pgNumType w:start="1"/>
          <w:cols w:space="720" w:num="1"/>
          <w:docGrid w:type="lines" w:linePitch="312" w:charSpace="0"/>
        </w:sectPr>
      </w:pPr>
    </w:p>
    <w:p>
      <w:pPr>
        <w:widowControl/>
        <w:ind w:firstLine="2530" w:firstLineChars="900"/>
        <w:rPr>
          <w:rFonts w:hint="eastAsia" w:ascii="仿宋_GB2312" w:hAnsi="仿宋_GB2312" w:eastAsia="仿宋_GB2312" w:cs="仿宋_GB2312"/>
          <w:b/>
          <w:color w:val="auto"/>
          <w:kern w:val="0"/>
          <w:sz w:val="28"/>
          <w:szCs w:val="28"/>
          <w:highlight w:val="none"/>
          <w:lang w:bidi="ar"/>
        </w:rPr>
      </w:pPr>
      <w:r>
        <w:rPr>
          <w:rFonts w:hint="eastAsia" w:ascii="仿宋_GB2312" w:hAnsi="仿宋_GB2312" w:eastAsia="仿宋_GB2312" w:cs="仿宋_GB2312"/>
          <w:b/>
          <w:color w:val="auto"/>
          <w:kern w:val="0"/>
          <w:sz w:val="28"/>
          <w:szCs w:val="28"/>
          <w:highlight w:val="none"/>
          <w:lang w:bidi="ar"/>
        </w:rPr>
        <w:t>采购项目合同验收书（格式）</w:t>
      </w:r>
    </w:p>
    <w:p>
      <w:pPr>
        <w:pStyle w:val="31"/>
        <w:rPr>
          <w:rFonts w:hint="eastAsia"/>
          <w:color w:val="auto"/>
          <w:highlight w:val="none"/>
        </w:rPr>
      </w:pPr>
    </w:p>
    <w:p>
      <w:pPr>
        <w:widowControl/>
        <w:rPr>
          <w:rFonts w:hint="eastAsia" w:ascii="仿宋_GB2312" w:hAnsi="仿宋_GB2312" w:eastAsia="仿宋_GB2312" w:cs="仿宋_GB2312"/>
          <w:color w:val="auto"/>
          <w:kern w:val="0"/>
          <w:sz w:val="24"/>
          <w:highlight w:val="none"/>
        </w:rPr>
      </w:pPr>
      <w:r>
        <w:rPr>
          <w:rFonts w:ascii="仿宋_GB2312" w:hAnsi="仿宋_GB2312" w:eastAsia="仿宋_GB2312" w:cs="仿宋_GB2312"/>
          <w:b/>
          <w:color w:val="auto"/>
          <w:kern w:val="0"/>
          <w:sz w:val="28"/>
          <w:szCs w:val="28"/>
          <w:highlight w:val="none"/>
          <w:lang w:bidi="ar"/>
        </w:rPr>
        <w:t xml:space="preserve">    </w:t>
      </w:r>
      <w:r>
        <w:rPr>
          <w:rFonts w:hint="eastAsia" w:ascii="仿宋_GB2312" w:hAnsi="仿宋_GB2312" w:eastAsia="仿宋_GB2312" w:cs="仿宋_GB2312"/>
          <w:color w:val="auto"/>
          <w:kern w:val="0"/>
          <w:sz w:val="24"/>
          <w:highlight w:val="none"/>
          <w:lang w:bidi="ar"/>
        </w:rPr>
        <w:t>根据采购项目（</w:t>
      </w:r>
      <w:r>
        <w:rPr>
          <w:rFonts w:hint="eastAsia" w:ascii="仿宋_GB2312" w:hAnsi="仿宋_GB2312" w:eastAsia="仿宋_GB2312" w:cs="仿宋_GB2312"/>
          <w:color w:val="auto"/>
          <w:kern w:val="0"/>
          <w:sz w:val="24"/>
          <w:highlight w:val="none"/>
          <w:u w:val="single"/>
          <w:lang w:bidi="ar"/>
        </w:rPr>
        <w:t>采购合同编号：</w:t>
      </w:r>
      <w:r>
        <w:rPr>
          <w:rFonts w:hint="eastAsia" w:ascii="仿宋_GB2312" w:hAnsi="仿宋_GB2312" w:eastAsia="仿宋_GB2312" w:cs="仿宋_GB2312"/>
          <w:color w:val="auto"/>
          <w:kern w:val="0"/>
          <w:sz w:val="24"/>
          <w:highlight w:val="none"/>
          <w:u w:val="single"/>
          <w:lang w:bidi="ar"/>
        </w:rPr>
        <w:softHyphen/>
      </w:r>
      <w:r>
        <w:rPr>
          <w:rFonts w:hint="eastAsia" w:ascii="仿宋_GB2312" w:hAnsi="仿宋_GB2312" w:eastAsia="仿宋_GB2312" w:cs="仿宋_GB2312"/>
          <w:color w:val="auto"/>
          <w:kern w:val="0"/>
          <w:sz w:val="24"/>
          <w:highlight w:val="none"/>
          <w:u w:val="single"/>
          <w:lang w:bidi="ar"/>
        </w:rPr>
        <w:t xml:space="preserve">    </w:t>
      </w:r>
      <w:r>
        <w:rPr>
          <w:rFonts w:hint="eastAsia" w:ascii="仿宋_GB2312" w:hAnsi="仿宋_GB2312" w:eastAsia="仿宋_GB2312" w:cs="仿宋_GB2312"/>
          <w:color w:val="auto"/>
          <w:kern w:val="0"/>
          <w:sz w:val="24"/>
          <w:highlight w:val="none"/>
          <w:lang w:bidi="ar"/>
        </w:rPr>
        <w:t>）的约定，我单位对（</w:t>
      </w:r>
      <w:r>
        <w:rPr>
          <w:rFonts w:hint="eastAsia" w:ascii="仿宋_GB2312" w:hAnsi="仿宋_GB2312" w:eastAsia="仿宋_GB2312" w:cs="仿宋_GB2312"/>
          <w:color w:val="auto"/>
          <w:kern w:val="0"/>
          <w:sz w:val="24"/>
          <w:highlight w:val="none"/>
          <w:u w:val="single"/>
          <w:lang w:bidi="ar"/>
        </w:rPr>
        <w:t xml:space="preserve">  项目名称   </w:t>
      </w:r>
      <w:r>
        <w:rPr>
          <w:rFonts w:hint="eastAsia" w:ascii="仿宋_GB2312" w:hAnsi="仿宋_GB2312" w:eastAsia="仿宋_GB2312" w:cs="仿宋_GB2312"/>
          <w:color w:val="auto"/>
          <w:kern w:val="0"/>
          <w:sz w:val="24"/>
          <w:highlight w:val="none"/>
          <w:lang w:bidi="ar"/>
        </w:rPr>
        <w:t>）采购项目中标（或成交）供应商（</w:t>
      </w:r>
      <w:r>
        <w:rPr>
          <w:rFonts w:hint="eastAsia" w:ascii="仿宋_GB2312" w:hAnsi="仿宋_GB2312" w:eastAsia="仿宋_GB2312" w:cs="仿宋_GB2312"/>
          <w:color w:val="auto"/>
          <w:kern w:val="0"/>
          <w:sz w:val="24"/>
          <w:highlight w:val="none"/>
          <w:u w:val="single"/>
          <w:lang w:bidi="ar"/>
        </w:rPr>
        <w:t xml:space="preserve">            公司名称              </w:t>
      </w:r>
      <w:r>
        <w:rPr>
          <w:rFonts w:hint="eastAsia" w:ascii="仿宋_GB2312" w:hAnsi="仿宋_GB2312" w:eastAsia="仿宋_GB2312" w:cs="仿宋_GB2312"/>
          <w:color w:val="auto"/>
          <w:kern w:val="0"/>
          <w:sz w:val="24"/>
          <w:highlight w:val="none"/>
          <w:lang w:bidi="ar"/>
        </w:rPr>
        <w:t>）提供的货物（或项目、服务）进行了验收，验收情况如下：</w:t>
      </w:r>
    </w:p>
    <w:tbl>
      <w:tblPr>
        <w:tblStyle w:val="14"/>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0" w:type="dxa"/>
          <w:bottom w:w="0" w:type="dxa"/>
          <w:right w:w="0" w:type="dxa"/>
        </w:tblCellMar>
      </w:tblPr>
      <w:tblGrid>
        <w:gridCol w:w="1248"/>
        <w:gridCol w:w="2302"/>
        <w:gridCol w:w="948"/>
        <w:gridCol w:w="2503"/>
        <w:gridCol w:w="205"/>
        <w:gridCol w:w="796"/>
        <w:gridCol w:w="107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97" w:hRule="atLeast"/>
          <w:jc w:val="center"/>
        </w:trPr>
        <w:tc>
          <w:tcPr>
            <w:tcW w:w="3550" w:type="dxa"/>
            <w:gridSpan w:val="2"/>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验收方式：</w:t>
            </w:r>
          </w:p>
        </w:tc>
        <w:tc>
          <w:tcPr>
            <w:tcW w:w="5523" w:type="dxa"/>
            <w:gridSpan w:val="5"/>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□自行验收         □委托验收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22"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序号</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名  称</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货物型号规格、标准及配置等</w:t>
            </w:r>
          </w:p>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（或服务内容、标准）</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数量</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2" w:firstLineChars="1"/>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金  额</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2302"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345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487" w:hRule="atLeast"/>
          <w:jc w:val="center"/>
        </w:trPr>
        <w:tc>
          <w:tcPr>
            <w:tcW w:w="7001" w:type="dxa"/>
            <w:gridSpan w:val="4"/>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3" w:right="0" w:firstLine="4" w:firstLineChars="2"/>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        计</w:t>
            </w:r>
          </w:p>
        </w:tc>
        <w:tc>
          <w:tcPr>
            <w:tcW w:w="1001" w:type="dxa"/>
            <w:gridSpan w:val="2"/>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c>
          <w:tcPr>
            <w:tcW w:w="1071" w:type="dxa"/>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合计大写金额：   仟    佰    拾    万    仟    佰    拾    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41"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2" w:firstLineChars="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实际供货日期</w:t>
            </w:r>
          </w:p>
        </w:tc>
        <w:tc>
          <w:tcPr>
            <w:tcW w:w="3250"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708"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5" w:firstLineChars="19"/>
              <w:jc w:val="center"/>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合同交货验收日期</w:t>
            </w:r>
          </w:p>
        </w:tc>
        <w:tc>
          <w:tcPr>
            <w:tcW w:w="1867"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394" w:hRule="atLeast"/>
          <w:jc w:val="center"/>
        </w:trPr>
        <w:tc>
          <w:tcPr>
            <w:tcW w:w="1248" w:type="dxa"/>
            <w:tcBorders>
              <w:top w:val="single" w:color="auto" w:sz="8" w:space="0"/>
              <w:left w:val="single" w:color="auto" w:sz="8" w:space="0"/>
              <w:bottom w:val="single" w:color="auto" w:sz="8" w:space="0"/>
              <w:right w:val="single" w:color="auto" w:sz="8" w:space="0"/>
            </w:tcBorders>
            <w:noWrap w:val="0"/>
            <w:vAlign w:val="center"/>
          </w:tcPr>
          <w:p>
            <w:pPr>
              <w:keepNext w:val="0"/>
              <w:keepLines w:val="0"/>
              <w:widowControl/>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3250"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c>
          <w:tcPr>
            <w:tcW w:w="2708"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590" w:right="0" w:firstLine="480" w:firstLineChars="200"/>
              <w:jc w:val="left"/>
              <w:rPr>
                <w:rFonts w:hint="eastAsia" w:ascii="仿宋_GB2312" w:hAnsi="仿宋_GB2312" w:eastAsia="仿宋_GB2312" w:cs="仿宋_GB2312"/>
                <w:color w:val="auto"/>
                <w:kern w:val="0"/>
                <w:sz w:val="24"/>
                <w:highlight w:val="none"/>
              </w:rPr>
            </w:pPr>
          </w:p>
        </w:tc>
        <w:tc>
          <w:tcPr>
            <w:tcW w:w="1867" w:type="dxa"/>
            <w:gridSpan w:val="2"/>
            <w:tcBorders>
              <w:top w:val="single" w:color="auto" w:sz="8" w:space="0"/>
              <w:left w:val="nil"/>
              <w:bottom w:val="single" w:color="auto" w:sz="8" w:space="0"/>
              <w:right w:val="single" w:color="auto" w:sz="8" w:space="0"/>
            </w:tcBorders>
            <w:noWrap w:val="0"/>
            <w:vAlign w:val="center"/>
          </w:tcPr>
          <w:p>
            <w:pPr>
              <w:keepNext w:val="0"/>
              <w:keepLines w:val="0"/>
              <w:suppressLineNumbers w:val="0"/>
              <w:snapToGrid w:val="0"/>
              <w:spacing w:before="100" w:beforeAutospacing="1" w:after="100" w:afterAutospacing="1" w:line="320" w:lineRule="exact"/>
              <w:ind w:left="0" w:right="0" w:firstLine="480" w:firstLineChars="200"/>
              <w:jc w:val="left"/>
              <w:rPr>
                <w:rFonts w:hint="eastAsia" w:ascii="仿宋_GB2312" w:hAnsi="仿宋_GB2312" w:eastAsia="仿宋_GB2312" w:cs="仿宋_GB2312"/>
                <w:color w:val="auto"/>
                <w:kern w:val="0"/>
                <w:sz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693" w:hRule="atLeast"/>
          <w:jc w:val="center"/>
        </w:trPr>
        <w:tc>
          <w:tcPr>
            <w:tcW w:w="124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验收具体内容</w:t>
            </w:r>
          </w:p>
        </w:tc>
        <w:tc>
          <w:tcPr>
            <w:tcW w:w="7825" w:type="dxa"/>
            <w:gridSpan w:val="6"/>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widowControl/>
              <w:suppressLineNumbers w:val="0"/>
              <w:snapToGrid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sz w:val="24"/>
                <w:highlight w:val="none"/>
                <w:lang w:bidi="ar"/>
              </w:rPr>
              <w:t>（应</w:t>
            </w:r>
            <w:r>
              <w:rPr>
                <w:rFonts w:hint="eastAsia" w:ascii="仿宋_GB2312" w:hAnsi="仿宋_GB2312" w:eastAsia="仿宋_GB2312" w:cs="仿宋_GB2312"/>
                <w:color w:val="auto"/>
                <w:kern w:val="0"/>
                <w:sz w:val="24"/>
                <w:highlight w:val="none"/>
                <w:lang w:bidi="ar"/>
              </w:rPr>
              <w:t>按采购合同、采购文件、投标响应文件及验收方案等进行验收；并核对</w:t>
            </w:r>
            <w:r>
              <w:rPr>
                <w:rFonts w:hint="eastAsia" w:ascii="仿宋_GB2312" w:hAnsi="仿宋_GB2312" w:eastAsia="仿宋_GB2312" w:cs="仿宋_GB2312"/>
                <w:color w:val="auto"/>
                <w:sz w:val="24"/>
                <w:highlight w:val="none"/>
                <w:lang w:bidi="ar"/>
              </w:rPr>
              <w:t>中标或者成交供应商在服务等方面是否违反合同约定或服务规范要求、提供的质量保证证明材料是否齐全、是否达到合同约定等</w:t>
            </w:r>
            <w:r>
              <w:rPr>
                <w:rFonts w:hint="eastAsia" w:ascii="仿宋_GB2312" w:hAnsi="仿宋_GB2312" w:eastAsia="仿宋_GB2312" w:cs="仿宋_GB2312"/>
                <w:color w:val="auto"/>
                <w:kern w:val="0"/>
                <w:sz w:val="24"/>
                <w:highlight w:val="none"/>
                <w:lang w:bidi="ar"/>
              </w:rPr>
              <w:t>。可附件)</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264" w:hRule="atLeast"/>
          <w:jc w:val="center"/>
        </w:trPr>
        <w:tc>
          <w:tcPr>
            <w:tcW w:w="124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验收小组意见</w:t>
            </w:r>
          </w:p>
        </w:tc>
        <w:tc>
          <w:tcPr>
            <w:tcW w:w="7825" w:type="dxa"/>
            <w:gridSpan w:val="6"/>
            <w:tcBorders>
              <w:top w:val="single" w:color="auto" w:sz="8" w:space="0"/>
              <w:left w:val="nil"/>
              <w:bottom w:val="single" w:color="auto" w:sz="4"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验收结论性意见：</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1056" w:hRule="atLeast"/>
          <w:jc w:val="center"/>
        </w:trPr>
        <w:tc>
          <w:tcPr>
            <w:tcW w:w="124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color w:val="auto"/>
                <w:sz w:val="24"/>
                <w:highlight w:val="none"/>
              </w:rPr>
            </w:pPr>
          </w:p>
        </w:tc>
        <w:tc>
          <w:tcPr>
            <w:tcW w:w="7825" w:type="dxa"/>
            <w:gridSpan w:val="6"/>
            <w:tcBorders>
              <w:top w:val="single" w:color="auto" w:sz="4" w:space="0"/>
              <w:left w:val="nil"/>
              <w:bottom w:val="single" w:color="auto" w:sz="8" w:space="0"/>
              <w:right w:val="single" w:color="auto" w:sz="8" w:space="0"/>
            </w:tcBorders>
            <w:noWrap w:val="0"/>
            <w:vAlign w:val="center"/>
          </w:tcPr>
          <w:p>
            <w:pPr>
              <w:keepNext w:val="0"/>
              <w:keepLines w:val="0"/>
              <w:suppressLineNumbers w:val="0"/>
              <w:spacing w:before="100" w:beforeAutospacing="1" w:after="100" w:afterAutospacing="1" w:line="320" w:lineRule="exact"/>
              <w:ind w:left="0" w:right="0" w:firstLine="96" w:firstLineChars="4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有异议的意见和说明理由：</w:t>
            </w:r>
          </w:p>
          <w:p>
            <w:pPr>
              <w:keepNext w:val="0"/>
              <w:keepLines w:val="0"/>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985"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验收小组成员签字：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36" w:hRule="atLeast"/>
          <w:jc w:val="center"/>
        </w:trPr>
        <w:tc>
          <w:tcPr>
            <w:tcW w:w="9073" w:type="dxa"/>
            <w:gridSpan w:val="7"/>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监督人员或其他相关人员签字：</w:t>
            </w:r>
          </w:p>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或受邀机构的意见（盖章）：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0" w:type="dxa"/>
            <w:bottom w:w="0" w:type="dxa"/>
            <w:right w:w="0" w:type="dxa"/>
          </w:tblCellMar>
        </w:tblPrEx>
        <w:trPr>
          <w:trHeight w:val="758" w:hRule="atLeast"/>
          <w:jc w:val="center"/>
        </w:trPr>
        <w:tc>
          <w:tcPr>
            <w:tcW w:w="4498" w:type="dxa"/>
            <w:gridSpan w:val="3"/>
            <w:tcBorders>
              <w:top w:val="single" w:color="auto" w:sz="8" w:space="0"/>
              <w:left w:val="single" w:color="auto" w:sz="8" w:space="0"/>
              <w:bottom w:val="single" w:color="auto" w:sz="8" w:space="0"/>
              <w:right w:val="nil"/>
            </w:tcBorders>
            <w:noWrap w:val="0"/>
            <w:tcMar>
              <w:left w:w="108" w:type="dxa"/>
              <w:right w:w="108" w:type="dxa"/>
            </w:tcMar>
            <w:vAlign w:val="center"/>
          </w:tcPr>
          <w:p>
            <w:pPr>
              <w:keepNext w:val="0"/>
              <w:keepLines w:val="0"/>
              <w:widowControl/>
              <w:suppressLineNumbers w:val="0"/>
              <w:spacing w:before="100" w:beforeAutospacing="1" w:after="100" w:afterAutospacing="1" w:line="320" w:lineRule="exact"/>
              <w:ind w:left="0" w:right="0" w:firstLine="74" w:firstLineChars="31"/>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中标或者成交供应商负责人签字或盖章：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c>
          <w:tcPr>
            <w:tcW w:w="4575" w:type="dxa"/>
            <w:gridSpan w:val="4"/>
            <w:tcBorders>
              <w:top w:val="single" w:color="auto" w:sz="8" w:space="0"/>
              <w:left w:val="nil"/>
              <w:bottom w:val="single" w:color="auto" w:sz="8" w:space="0"/>
              <w:right w:val="single" w:color="auto" w:sz="8" w:space="0"/>
            </w:tcBorders>
            <w:noWrap w:val="0"/>
            <w:vAlign w:val="center"/>
          </w:tcPr>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 xml:space="preserve"> 采购方或受托机构的意见（盖章）：</w:t>
            </w:r>
          </w:p>
          <w:p>
            <w:pPr>
              <w:keepNext w:val="0"/>
              <w:keepLines w:val="0"/>
              <w:widowControl/>
              <w:suppressLineNumbers w:val="0"/>
              <w:spacing w:before="100" w:beforeAutospacing="1" w:after="100" w:afterAutospacing="1" w:line="320" w:lineRule="exact"/>
              <w:ind w:left="0" w:right="0"/>
              <w:jc w:val="left"/>
              <w:rPr>
                <w:rFonts w:hint="eastAsia" w:ascii="仿宋_GB2312" w:hAnsi="仿宋_GB2312" w:eastAsia="仿宋_GB2312" w:cs="仿宋_GB2312"/>
                <w:color w:val="auto"/>
                <w:kern w:val="0"/>
                <w:sz w:val="24"/>
                <w:highlight w:val="none"/>
              </w:rPr>
            </w:pPr>
            <w:r>
              <w:rPr>
                <w:rFonts w:hint="eastAsia" w:ascii="仿宋_GB2312" w:hAnsi="仿宋_GB2312" w:eastAsia="仿宋_GB2312" w:cs="仿宋_GB2312"/>
                <w:color w:val="auto"/>
                <w:kern w:val="0"/>
                <w:sz w:val="24"/>
                <w:highlight w:val="none"/>
                <w:lang w:bidi="ar"/>
              </w:rPr>
              <w:t>联系电话：                 年   月   日</w:t>
            </w:r>
          </w:p>
        </w:tc>
      </w:tr>
    </w:tbl>
    <w:p>
      <w:pPr>
        <w:widowControl/>
        <w:jc w:val="left"/>
        <w:rPr>
          <w:rFonts w:hint="eastAsia" w:ascii="仿宋_GB2312" w:hAnsi="仿宋_GB2312" w:eastAsia="仿宋_GB2312" w:cs="仿宋_GB2312"/>
          <w:color w:val="auto"/>
          <w:spacing w:val="-10"/>
          <w:kern w:val="0"/>
          <w:sz w:val="24"/>
          <w:highlight w:val="none"/>
          <w:lang w:bidi="ar"/>
        </w:rPr>
      </w:pPr>
      <w:r>
        <w:rPr>
          <w:rFonts w:hint="eastAsia" w:ascii="仿宋_GB2312" w:hAnsi="仿宋_GB2312" w:eastAsia="仿宋_GB2312" w:cs="仿宋_GB2312"/>
          <w:color w:val="auto"/>
          <w:spacing w:val="-10"/>
          <w:kern w:val="0"/>
          <w:sz w:val="24"/>
          <w:highlight w:val="none"/>
          <w:lang w:bidi="ar"/>
        </w:rPr>
        <w:t>备注：本报告单一式2份（采购单位1份、供应商1份）。</w:t>
      </w:r>
    </w:p>
    <w:p>
      <w:pPr>
        <w:pStyle w:val="31"/>
        <w:rPr>
          <w:rFonts w:hint="eastAsia"/>
          <w:color w:val="auto"/>
          <w:highlight w:val="none"/>
        </w:rPr>
      </w:pPr>
    </w:p>
    <w:p>
      <w:pPr>
        <w:pStyle w:val="12"/>
        <w:snapToGrid w:val="0"/>
        <w:spacing w:before="120" w:after="120"/>
        <w:rPr>
          <w:rFonts w:hint="eastAsia" w:ascii="仿宋_GB2312" w:hAnsi="仿宋_GB2312" w:eastAsia="仿宋_GB2312" w:cs="仿宋_GB2312"/>
          <w:color w:val="auto"/>
          <w:kern w:val="0"/>
          <w:sz w:val="28"/>
          <w:szCs w:val="28"/>
          <w:highlight w:val="none"/>
        </w:rPr>
        <w:sectPr>
          <w:footerReference r:id="rId11" w:type="default"/>
          <w:pgSz w:w="11906" w:h="16838"/>
          <w:pgMar w:top="1418" w:right="1418" w:bottom="1418" w:left="1418" w:header="851" w:footer="992" w:gutter="0"/>
          <w:pgNumType w:start="12"/>
          <w:cols w:space="720" w:num="1"/>
          <w:docGrid w:type="lines" w:linePitch="312" w:charSpace="0"/>
        </w:sectPr>
      </w:pPr>
    </w:p>
    <w:p>
      <w:pPr>
        <w:spacing w:before="312" w:beforeLines="100" w:after="312" w:afterLines="100" w:line="300" w:lineRule="auto"/>
        <w:jc w:val="center"/>
        <w:outlineLvl w:val="0"/>
        <w:rPr>
          <w:b/>
          <w:color w:val="auto"/>
          <w:sz w:val="32"/>
          <w:szCs w:val="32"/>
          <w:highlight w:val="none"/>
        </w:rPr>
      </w:pPr>
      <w:bookmarkStart w:id="15" w:name="_Toc1629"/>
      <w:r>
        <w:rPr>
          <w:rFonts w:hint="eastAsia" w:ascii="宋体" w:hAnsi="宋体" w:cs="宋体"/>
          <w:b/>
          <w:color w:val="auto"/>
          <w:sz w:val="32"/>
          <w:szCs w:val="32"/>
          <w:highlight w:val="none"/>
        </w:rPr>
        <w:t>第</w:t>
      </w:r>
      <w:r>
        <w:rPr>
          <w:rFonts w:hint="eastAsia"/>
          <w:b/>
          <w:color w:val="auto"/>
          <w:sz w:val="32"/>
          <w:szCs w:val="32"/>
          <w:highlight w:val="none"/>
        </w:rPr>
        <w:t>四</w:t>
      </w:r>
      <w:r>
        <w:rPr>
          <w:rFonts w:hint="eastAsia" w:ascii="宋体" w:hAnsi="宋体" w:cs="宋体"/>
          <w:b/>
          <w:color w:val="auto"/>
          <w:sz w:val="32"/>
          <w:szCs w:val="32"/>
          <w:highlight w:val="none"/>
        </w:rPr>
        <w:t>章</w:t>
      </w:r>
      <w:r>
        <w:rPr>
          <w:rFonts w:eastAsia="Times New Roman"/>
          <w:b/>
          <w:color w:val="auto"/>
          <w:sz w:val="32"/>
          <w:szCs w:val="32"/>
          <w:highlight w:val="none"/>
        </w:rPr>
        <w:t xml:space="preserve"> </w:t>
      </w:r>
      <w:r>
        <w:rPr>
          <w:rFonts w:hint="eastAsia"/>
          <w:b/>
          <w:color w:val="auto"/>
          <w:sz w:val="32"/>
          <w:szCs w:val="32"/>
          <w:highlight w:val="none"/>
        </w:rPr>
        <w:t>评定成交的标准</w:t>
      </w:r>
      <w:bookmarkEnd w:id="15"/>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一、评标原则</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（一）磋商小组构成：本项目的磋商小组由采购方代表和有关技术、经济等方面的专家组成。成员人数应当为3人以上（含3人）单数。</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（二）评标依据：</w:t>
      </w:r>
      <w:r>
        <w:rPr>
          <w:rFonts w:hint="eastAsia" w:ascii="仿宋_GB2312" w:hAnsi="仿宋_GB2312" w:eastAsia="仿宋_GB2312" w:cs="仿宋_GB2312"/>
          <w:color w:val="auto"/>
          <w:sz w:val="24"/>
          <w:highlight w:val="none"/>
        </w:rPr>
        <w:t>磋商小组将以竞争性磋商文件和响应文件为评审依据，对供应商的最后报价、货物性能、售后服务、信誉、业绩、政策功能等方面内容按百分制打分。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（三）评标方式：以封闭方式进行。</w:t>
      </w:r>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kern w:val="0"/>
          <w:sz w:val="24"/>
          <w:highlight w:val="none"/>
        </w:rPr>
      </w:pPr>
      <w:r>
        <w:rPr>
          <w:rFonts w:hint="eastAsia" w:ascii="仿宋_GB2312" w:hAnsi="仿宋_GB2312" w:eastAsia="仿宋_GB2312" w:cs="仿宋_GB2312"/>
          <w:b/>
          <w:bCs/>
          <w:color w:val="auto"/>
          <w:kern w:val="0"/>
          <w:sz w:val="24"/>
          <w:highlight w:val="none"/>
        </w:rPr>
        <w:t>二、评标方法</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（一）磋商小组根据竞争性磋商文件要求对各供应商的资格和响应文件的完整性、符合性等进行审查，以确定是否对竞争性磋商文件的实质性要求作出响应。</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（二）对进入详评的，采用百分制综合评分法。</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（三）计分办法（按四舍五入取至百分位）：</w:t>
      </w:r>
    </w:p>
    <w:p>
      <w:pPr>
        <w:tabs>
          <w:tab w:val="left" w:pos="540"/>
        </w:tabs>
        <w:topLinePunct/>
        <w:snapToGrid w:val="0"/>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1、价格分</w:t>
      </w:r>
      <w:r>
        <w:rPr>
          <w:rFonts w:hint="eastAsia" w:ascii="仿宋_GB2312" w:hAnsi="仿宋_GB2312" w:eastAsia="仿宋_GB2312" w:cs="仿宋_GB2312"/>
          <w:b/>
          <w:color w:val="auto"/>
          <w:sz w:val="24"/>
          <w:highlight w:val="none"/>
        </w:rPr>
        <w:t>……………………………………………………………………………15分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（1）评标价为供应商的磋商报价进行政策性扣除后的价格，评标价只是作为评标时使用。最终成交人的成交金额＝最终磋商报价。</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政策性扣除计算方法：供应商符合小型、微型企业或监狱企业条件的，其磋商报价将按相应比例进行扣除，用扣除后的价格参与评审（计算价格分）。小型、微型企业组成联合体参加磋商的，联合体视同为小型、微型企业享受扶持政策。</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按照《财政部、司法部关于政府采购支持监狱企业发展有关问题的通知》（财库〔2014〕68号）之规定，监狱企业视同小型、微型企业。</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按照《政府采购促进中小企业发展暂行办法》（财库[2011]181号）第五条的规定：对小型或微型企业产品的价格给予10%的扣除，用扣除后的价格为评标报价参与评审，即：评标报价=最终磋商价×（1-10%）。（供应商须如实填写中小企业声明函，并对声明的真实性负责）。</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大中型企业和其他自然人、法人或者其他组织与小型、微型企业组成联合体磋商，联合体协议中约定小型、微型企业的协议合同金额占到联合体协议合同总金额30%以上的，联合体投标价给予2%的扣除，扣除后的价格为评标价，即评标报价=最终磋商价×（1-2%）；除上述情况外，评标报价=最终磋商价。</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根据《关于促进残疾人就业政府采购政策的通知》（财库【2017】141号）规定，残疾人福利性单位视同小型、微型企业，评审中对价格给予折扣，残疾人福利性单位属于小型、微型企业的，不重复享受政策。符合条件的残疾人福利性单位在参加政府采购活动时，应当提供本通知规定的《残疾人福利性单位声明函》（见附件），并对声明的真实性负责。</w:t>
      </w:r>
    </w:p>
    <w:p>
      <w:pPr>
        <w:snapToGrid w:val="0"/>
        <w:spacing w:line="360" w:lineRule="auto"/>
        <w:ind w:firstLine="487" w:firstLineChars="202"/>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特别说明：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（2）以进入综合评分环节的最低的评标报价为基准价，基准价报价得分为15分。</w:t>
      </w:r>
    </w:p>
    <w:p>
      <w:pPr>
        <w:tabs>
          <w:tab w:val="left" w:pos="540"/>
        </w:tabs>
        <w:topLinePunct/>
        <w:snapToGrid w:val="0"/>
        <w:spacing w:line="360" w:lineRule="auto"/>
        <w:ind w:firstLine="480" w:firstLineChars="200"/>
        <w:jc w:val="left"/>
        <w:rPr>
          <w:rFonts w:hint="eastAsia" w:ascii="仿宋_GB2312" w:hAnsi="仿宋_GB2312" w:eastAsia="仿宋_GB2312" w:cs="仿宋_GB2312"/>
          <w:bCs/>
          <w:color w:val="auto"/>
          <w:kern w:val="0"/>
          <w:sz w:val="24"/>
          <w:highlight w:val="none"/>
        </w:rPr>
      </w:pPr>
      <w:r>
        <w:rPr>
          <w:rFonts w:hint="eastAsia" w:ascii="仿宋_GB2312" w:hAnsi="仿宋_GB2312" w:eastAsia="仿宋_GB2312" w:cs="仿宋_GB2312"/>
          <w:bCs/>
          <w:color w:val="auto"/>
          <w:kern w:val="0"/>
          <w:sz w:val="24"/>
          <w:highlight w:val="none"/>
        </w:rPr>
        <w:t>（3）某供应商报价分公式：某供应商价格分＝基准价/某供应商评标报价金额×15分</w:t>
      </w:r>
    </w:p>
    <w:p>
      <w:pPr>
        <w:tabs>
          <w:tab w:val="left" w:pos="540"/>
        </w:tabs>
        <w:topLinePunct/>
        <w:snapToGrid w:val="0"/>
        <w:spacing w:line="360" w:lineRule="auto"/>
        <w:ind w:firstLine="482" w:firstLineChars="200"/>
        <w:jc w:val="left"/>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kern w:val="0"/>
          <w:sz w:val="24"/>
          <w:highlight w:val="none"/>
        </w:rPr>
        <w:t>2、技术分</w:t>
      </w:r>
      <w:r>
        <w:rPr>
          <w:rFonts w:hint="eastAsia" w:ascii="仿宋_GB2312" w:hAnsi="仿宋_GB2312" w:eastAsia="仿宋_GB2312" w:cs="仿宋_GB2312"/>
          <w:b/>
          <w:color w:val="auto"/>
          <w:sz w:val="24"/>
          <w:highlight w:val="none"/>
        </w:rPr>
        <w:t>……………………………………………………………………………60分</w:t>
      </w:r>
    </w:p>
    <w:p>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2.1服务方案分（满分20分）</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一档（7分）：服务方案简单，有对服务内容的理解（服务目标理解、服务的重点和难点分析）；制定工作方案，服务实施的技术力量和人力资源安排基本满足要求，技术负责人具有中级工程师证书， 项目管理人员中1人具有PMP证书。</w:t>
      </w:r>
    </w:p>
    <w:p>
      <w:pPr>
        <w:snapToGrid w:val="0"/>
        <w:spacing w:line="360" w:lineRule="auto"/>
        <w:ind w:firstLine="480" w:firstLineChars="200"/>
        <w:rPr>
          <w:rFonts w:hint="eastAsia" w:ascii="仿宋_GB2312" w:hAnsi="仿宋_GB2312" w:eastAsia="仿宋_GB2312" w:cs="仿宋_GB2312"/>
          <w:color w:val="auto"/>
          <w:sz w:val="24"/>
          <w:highlight w:val="none"/>
        </w:rPr>
      </w:pPr>
      <w:bookmarkStart w:id="16" w:name="_Hlk80689052"/>
      <w:r>
        <w:rPr>
          <w:rFonts w:hint="eastAsia" w:ascii="仿宋_GB2312" w:hAnsi="仿宋_GB2312" w:eastAsia="仿宋_GB2312" w:cs="仿宋_GB2312"/>
          <w:color w:val="auto"/>
          <w:sz w:val="24"/>
          <w:highlight w:val="none"/>
        </w:rPr>
        <w:t>二档（13分）</w:t>
      </w:r>
      <w:bookmarkEnd w:id="16"/>
      <w:r>
        <w:rPr>
          <w:rFonts w:hint="eastAsia" w:ascii="仿宋_GB2312" w:hAnsi="仿宋_GB2312" w:eastAsia="仿宋_GB2312" w:cs="仿宋_GB2312"/>
          <w:color w:val="auto"/>
          <w:sz w:val="24"/>
          <w:highlight w:val="none"/>
        </w:rPr>
        <w:t>：服务方案较详细，对服务内容的理解（服务目标理解、服务的重点和难点分析）有合理性；制定合理可行的工作方案（工作流程、沟通协调机制、质量保证措施）；保证服务实施的技术力量和人力资源安排满足项目实施要求，技术负责人具有高级系统规划与管理师与中级工程师证书，项目管理人员中2人具有PMP证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档（20分）：服务方案详实，对服务内容的理解（服务目标理解、服务的重点和难点分析）透彻到位；制定完整可行的工作方案（工作流程、沟通协调机制、质量保证措施、采购方对服务不满意的解决方案、相关违约承诺），工作方案优良，提供专项方案；保证项目实施的技术力量和人力资源安排充足，技术负责人具有高级系统规划与管理师、中级及以上工程师证书，项目管理人员中3人具有PMP证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注：提供上述人员资质证书、投标截止之日前半年内任意连续三个月供应商为其缴纳社保证明材料复印件并加盖供应商公章; 属代缴情况时，还应提供相关人事管理及社保缴纳说明材料，否则不得分。</w:t>
      </w:r>
    </w:p>
    <w:p>
      <w:pPr>
        <w:snapToGrid w:val="0"/>
        <w:spacing w:line="360" w:lineRule="auto"/>
        <w:ind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2.2实施方案分（满分20分）</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一档（7分）：有项目实施组织机构，具有合理的安装调试方法，制定运营管理制度，具有进度计划、项目实施管理文档计划，项目实施方案简单；具有运营管理提供5人或以上的实施团队，项目经理具有通信类或计算机类高级工程师证书，且实施人员中2人及以上具有通信类或计算机类中级工程师证书；满足以上相关要求的，进入一档。</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二档（13分）：有项目实施组织机构，具有合理的安装调试方法，运营管理制度合理并符合规范要求，具有进度计划、项目实施管理文档计划、安全及质量保证措施，提供合理的应急处理方案，项目实施方案较详细；提供10人或以上的实施团队，项目经理具有通信类或计算机类高级工程师、IT服务项目经理（ITSS）资质证书，且实施人员中4人具有通信类或计算机类高级工程师证书（至少1人为教授级高级工程师），2人具有注册信息安全管理人员（CISO）资质证书；满足以上相关要求的，进入二档。</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三档（20分）：有项目实施组织机构，具有合理的安装调试方法，运营管理制度科学合理、全面、规范，具有详细的进度计划、项目实施管理文档计划、安全及质量保证措施，提供完整的应急处理方案、有保障措施，项目实施方案阐述详细；提供20人或以上的实施团队，项目经理具有通信类或计算机类高级工程师、IT服务项目经理（ITSS）及注册信息安全管理人员（CISO）资质证书，且实施人员中8人及以上具有通信类或计算机类高级工程师证书（至少1人为教授级高级工程师），4人具有注册信息安全管理人员（CISO）资质证书；满足以上相关要求的，进入本档。</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注：提供上述人员资质证书、投标截止之日前半年内任意连续三个月供应商为其缴纳社保证明材料复印件并加盖供应商公章; 属代缴情况时，还应提供相关人事管理及社保缴纳说明材料，否则不得分。</w:t>
      </w:r>
    </w:p>
    <w:p>
      <w:pPr>
        <w:pStyle w:val="6"/>
        <w:snapToGrid w:val="0"/>
        <w:spacing w:after="0" w:line="360" w:lineRule="auto"/>
        <w:ind w:left="0" w:leftChars="0" w:firstLine="482"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
          <w:color w:val="auto"/>
          <w:sz w:val="24"/>
          <w:highlight w:val="none"/>
        </w:rPr>
        <w:t>2.3售后服务方案分（满分20分）：</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一档（7分）</w:t>
      </w:r>
      <w:r>
        <w:rPr>
          <w:rFonts w:hint="eastAsia" w:ascii="仿宋_GB2312" w:hAnsi="仿宋_GB2312" w:eastAsia="仿宋_GB2312" w:cs="仿宋_GB2312"/>
          <w:color w:val="auto"/>
          <w:sz w:val="24"/>
          <w:highlight w:val="none"/>
        </w:rPr>
        <w:t>：售后服务方案基本满足招标文件要求，服务内容、保障措施简单，供应商为本项目提供的售后服务人员5人及以上具备助理工程师及以上职称或职业认证资格证书。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二档（13分）</w:t>
      </w:r>
      <w:r>
        <w:rPr>
          <w:rFonts w:hint="eastAsia" w:ascii="仿宋_GB2312" w:hAnsi="仿宋_GB2312" w:eastAsia="仿宋_GB2312" w:cs="仿宋_GB2312"/>
          <w:color w:val="auto"/>
          <w:sz w:val="24"/>
          <w:highlight w:val="none"/>
        </w:rPr>
        <w:t>：售后服务方案比较细致、合理、可行，保障投标措施较详细，投标人为本项目提供的售后服务人员10人及以上具备助理工程师及以上职称或职业认证资格证书，其中3人具备中级工程师，且供应商企业具备五级售后服务认证证书（认证范围为：通信及信息业务相关的系统集成所涉及的售后服务）。为确保服务响应速度和质量，供应商在南宁市区内有或承诺中标后设立本地服务机构。</w:t>
      </w:r>
    </w:p>
    <w:p>
      <w:pPr>
        <w:pStyle w:val="6"/>
        <w:snapToGrid w:val="0"/>
        <w:spacing w:after="0" w:line="360" w:lineRule="auto"/>
        <w:ind w:left="0" w:leftChars="0" w:firstLine="480" w:firstLineChars="200"/>
        <w:rPr>
          <w:rFonts w:hint="eastAsia" w:ascii="仿宋_GB2312" w:hAnsi="仿宋_GB2312" w:eastAsia="仿宋_GB2312" w:cs="仿宋_GB2312"/>
          <w:b/>
          <w:color w:val="auto"/>
          <w:sz w:val="24"/>
          <w:highlight w:val="none"/>
        </w:rPr>
      </w:pPr>
      <w:r>
        <w:rPr>
          <w:rFonts w:hint="eastAsia" w:ascii="仿宋_GB2312" w:hAnsi="仿宋_GB2312" w:eastAsia="仿宋_GB2312" w:cs="仿宋_GB2312"/>
          <w:bCs/>
          <w:color w:val="auto"/>
          <w:sz w:val="24"/>
          <w:highlight w:val="none"/>
        </w:rPr>
        <w:t>三档（20分）：售后服务方案细致、合理、可行，保障投标措施详细，服务经验丰富。有完整的售后服务组织架构、售后服务流程、应急预案、人员补齐方案，投标人为本项目提供的售后服务人员15人及以上，其中</w:t>
      </w:r>
      <w:r>
        <w:rPr>
          <w:rFonts w:ascii="仿宋_GB2312" w:hAnsi="仿宋_GB2312" w:eastAsia="仿宋_GB2312" w:cs="仿宋_GB2312"/>
          <w:bCs/>
          <w:color w:val="auto"/>
          <w:sz w:val="24"/>
          <w:highlight w:val="none"/>
        </w:rPr>
        <w:t>3</w:t>
      </w:r>
      <w:r>
        <w:rPr>
          <w:rFonts w:hint="eastAsia" w:ascii="仿宋_GB2312" w:hAnsi="仿宋_GB2312" w:eastAsia="仿宋_GB2312" w:cs="仿宋_GB2312"/>
          <w:bCs/>
          <w:color w:val="auto"/>
          <w:sz w:val="24"/>
          <w:highlight w:val="none"/>
        </w:rPr>
        <w:t>人</w:t>
      </w:r>
      <w:r>
        <w:rPr>
          <w:rFonts w:hint="eastAsia" w:ascii="仿宋_GB2312" w:hAnsi="仿宋_GB2312" w:eastAsia="仿宋_GB2312" w:cs="仿宋_GB2312"/>
          <w:color w:val="auto"/>
          <w:sz w:val="24"/>
          <w:highlight w:val="none"/>
        </w:rPr>
        <w:t>及以上</w:t>
      </w:r>
      <w:r>
        <w:rPr>
          <w:rFonts w:hint="eastAsia" w:ascii="仿宋_GB2312" w:hAnsi="仿宋_GB2312" w:eastAsia="仿宋_GB2312" w:cs="仿宋_GB2312"/>
          <w:bCs/>
          <w:color w:val="auto"/>
          <w:sz w:val="24"/>
          <w:highlight w:val="none"/>
        </w:rPr>
        <w:t>具备高级工程师证书，1人</w:t>
      </w:r>
      <w:r>
        <w:rPr>
          <w:rFonts w:hint="eastAsia" w:ascii="仿宋_GB2312" w:hAnsi="仿宋_GB2312" w:eastAsia="仿宋_GB2312" w:cs="仿宋_GB2312"/>
          <w:color w:val="auto"/>
          <w:sz w:val="24"/>
          <w:highlight w:val="none"/>
        </w:rPr>
        <w:t>及以上</w:t>
      </w:r>
      <w:r>
        <w:rPr>
          <w:rFonts w:hint="eastAsia" w:ascii="仿宋_GB2312" w:hAnsi="仿宋_GB2312" w:eastAsia="仿宋_GB2312" w:cs="仿宋_GB2312"/>
          <w:bCs/>
          <w:color w:val="auto"/>
          <w:sz w:val="24"/>
          <w:highlight w:val="none"/>
        </w:rPr>
        <w:t>具备网络工程师证书，3人</w:t>
      </w:r>
      <w:r>
        <w:rPr>
          <w:rFonts w:hint="eastAsia" w:ascii="仿宋_GB2312" w:hAnsi="仿宋_GB2312" w:eastAsia="仿宋_GB2312" w:cs="仿宋_GB2312"/>
          <w:color w:val="auto"/>
          <w:sz w:val="24"/>
          <w:highlight w:val="none"/>
        </w:rPr>
        <w:t>及以上</w:t>
      </w:r>
      <w:r>
        <w:rPr>
          <w:rFonts w:hint="eastAsia" w:ascii="仿宋_GB2312" w:hAnsi="仿宋_GB2312" w:eastAsia="仿宋_GB2312" w:cs="仿宋_GB2312"/>
          <w:bCs/>
          <w:color w:val="auto"/>
          <w:sz w:val="24"/>
          <w:highlight w:val="none"/>
        </w:rPr>
        <w:t>具备ITIL资质证书，5人及以上具备助理工程师及以上职称或职业认证资格证书，且供应商企业具备五级售后服务认证证书（认证范围为：通信及信息业务相关的系统集成所涉及的售后服务），为确保服务响应速度和质量，供应商在南宁市区内有或承诺中标后设立本地服务机构，提供服务机构工商注册营业执照复印件或与本地化服务机构签订的有效服务协议复印件或承诺书。</w:t>
      </w:r>
    </w:p>
    <w:p>
      <w:pPr>
        <w:snapToGrid w:val="0"/>
        <w:spacing w:line="360" w:lineRule="auto"/>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注：提供上述人员资质证书、投标截止之日前半年内任意连续三个月供应商为其缴纳社保证明材料复印件并加盖供应商公章;</w:t>
      </w:r>
      <w:r>
        <w:rPr>
          <w:rFonts w:hint="eastAsia" w:ascii="仿宋_GB2312" w:hAnsi="仿宋_GB2312" w:eastAsia="仿宋_GB2312" w:cs="仿宋_GB2312"/>
          <w:bCs/>
          <w:color w:val="auto"/>
          <w:sz w:val="24"/>
          <w:highlight w:val="none"/>
        </w:rPr>
        <w:t xml:space="preserve"> 属代缴情况时，还应提供相关人事管理及社保缴纳说明材料</w:t>
      </w:r>
      <w:r>
        <w:rPr>
          <w:rFonts w:hint="eastAsia" w:ascii="仿宋_GB2312" w:hAnsi="仿宋_GB2312" w:eastAsia="仿宋_GB2312" w:cs="仿宋_GB2312"/>
          <w:color w:val="auto"/>
          <w:sz w:val="24"/>
          <w:highlight w:val="none"/>
        </w:rPr>
        <w:t>，否则不得分。</w:t>
      </w:r>
    </w:p>
    <w:p>
      <w:pPr>
        <w:tabs>
          <w:tab w:val="left" w:pos="540"/>
        </w:tabs>
        <w:topLinePunct/>
        <w:snapToGrid w:val="0"/>
        <w:spacing w:line="360" w:lineRule="auto"/>
        <w:ind w:firstLine="482" w:firstLineChars="200"/>
        <w:jc w:val="left"/>
        <w:rPr>
          <w:rFonts w:hint="eastAsia" w:ascii="仿宋_GB2312" w:hAnsi="仿宋_GB2312" w:eastAsia="仿宋_GB2312" w:cs="仿宋_GB2312"/>
          <w:b/>
          <w:bCs/>
          <w:color w:val="auto"/>
          <w:sz w:val="24"/>
          <w:highlight w:val="none"/>
        </w:rPr>
      </w:pPr>
      <w:r>
        <w:rPr>
          <w:rFonts w:hint="eastAsia" w:ascii="仿宋_GB2312" w:hAnsi="仿宋_GB2312" w:eastAsia="仿宋_GB2312" w:cs="仿宋_GB2312"/>
          <w:b/>
          <w:bCs/>
          <w:color w:val="auto"/>
          <w:sz w:val="24"/>
          <w:highlight w:val="none"/>
        </w:rPr>
        <w:t>3、商务分…………………………………………………………</w:t>
      </w:r>
      <w:r>
        <w:rPr>
          <w:rFonts w:hint="eastAsia" w:ascii="仿宋_GB2312" w:hAnsi="仿宋_GB2312" w:eastAsia="仿宋_GB2312" w:cs="仿宋_GB2312"/>
          <w:b/>
          <w:color w:val="auto"/>
          <w:sz w:val="24"/>
          <w:highlight w:val="none"/>
        </w:rPr>
        <w:t>………</w:t>
      </w:r>
      <w:r>
        <w:rPr>
          <w:rFonts w:hint="eastAsia" w:ascii="仿宋_GB2312" w:hAnsi="仿宋_GB2312" w:eastAsia="仿宋_GB2312" w:cs="仿宋_GB2312"/>
          <w:b/>
          <w:bCs/>
          <w:color w:val="auto"/>
          <w:sz w:val="24"/>
          <w:highlight w:val="none"/>
        </w:rPr>
        <w:t>…………25分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1）供应商具备强大的企业管理能力，全部通过具有ISO27001（信息安全体系认证）、ISO20000（运维体系认证）、ISO45001（职业健康安全体系认证）、知识产权管理体系认证书、ISO9001（质量管理体系认证）、企业诚信管理体系认证，得6分，需提供证书复印件加盖供应商公章，证书提供不全不得分。（满分6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（2）供应商同时具备中国网络安全审查技术与认证中心颁发的信息安全应急处理资质与信息系统安全运维服务一级资质，得3分，需提供证书复印件加盖供应商公章，否则不得分。（满分3分）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（3）供应商获得信息系统服务交付能力一级证书（五星级）的，提供证书复印件加盖供应商公章，得3分。</w:t>
      </w:r>
    </w:p>
    <w:p>
      <w:pPr>
        <w:pStyle w:val="11"/>
        <w:snapToGrid w:val="0"/>
        <w:spacing w:before="0" w:after="0" w:line="360" w:lineRule="auto"/>
        <w:ind w:firstLine="480" w:firstLineChars="200"/>
        <w:jc w:val="both"/>
        <w:rPr>
          <w:rFonts w:hint="eastAsia" w:ascii="仿宋_GB2312" w:hAnsi="仿宋_GB2312" w:eastAsia="仿宋_GB2312" w:cs="仿宋_GB2312"/>
          <w:b w:val="0"/>
          <w:bCs w:val="0"/>
          <w:caps w:val="0"/>
          <w:color w:val="auto"/>
          <w:highlight w:val="none"/>
        </w:rPr>
      </w:pPr>
      <w:r>
        <w:rPr>
          <w:rFonts w:hint="eastAsia" w:ascii="仿宋_GB2312" w:hAnsi="仿宋_GB2312" w:eastAsia="仿宋_GB2312" w:cs="仿宋_GB2312"/>
          <w:b w:val="0"/>
          <w:bCs w:val="0"/>
          <w:caps w:val="0"/>
          <w:color w:val="auto"/>
          <w:highlight w:val="none"/>
        </w:rPr>
        <w:t>（4）供应商具备中国信息安全测评中心颁发的“国家信息安全测评信息安全服务资质证书”的，风险评估二级的得1分，风险评估一级得2分，其它的不得分，需提供证书复印件加盖供应商公章，否则不得分。（满分2分）</w:t>
      </w:r>
    </w:p>
    <w:p>
      <w:pPr>
        <w:snapToGrid w:val="0"/>
        <w:spacing w:line="360" w:lineRule="auto"/>
        <w:ind w:firstLine="480" w:firstLineChars="200"/>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5）供应商同时获得ITSS信息技术服务运行维护标准符合性证书一级（业务范围：信息技术服务运行维护）并且近三年内获得过国家信息技术ITSS研制和应用单位并且为ITSS国家信息技术服务标准工作组全权成员单位的，得5分，</w:t>
      </w:r>
      <w:r>
        <w:rPr>
          <w:rFonts w:hint="eastAsia" w:ascii="仿宋_GB2312" w:hAnsi="仿宋_GB2312" w:eastAsia="仿宋_GB2312" w:cs="仿宋_GB2312"/>
          <w:b/>
          <w:bCs/>
          <w:caps/>
          <w:color w:val="auto"/>
          <w:sz w:val="24"/>
          <w:highlight w:val="none"/>
        </w:rPr>
        <w:t>需</w:t>
      </w:r>
      <w:r>
        <w:rPr>
          <w:rFonts w:hint="eastAsia" w:ascii="仿宋_GB2312" w:hAnsi="仿宋_GB2312" w:eastAsia="仿宋_GB2312" w:cs="仿宋_GB2312"/>
          <w:bCs/>
          <w:color w:val="auto"/>
          <w:sz w:val="24"/>
          <w:highlight w:val="none"/>
        </w:rPr>
        <w:t>提供证书复印件加盖投标人公章，否则不得分。（满分5分）</w:t>
      </w:r>
    </w:p>
    <w:p>
      <w:pPr>
        <w:pStyle w:val="2"/>
        <w:snapToGrid w:val="0"/>
        <w:spacing w:after="0" w:line="360" w:lineRule="auto"/>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 xml:space="preserve">    （6）供应商有同类客服案例，一个项目得</w:t>
      </w:r>
      <w:r>
        <w:rPr>
          <w:rFonts w:ascii="仿宋_GB2312" w:hAnsi="仿宋_GB2312" w:eastAsia="仿宋_GB2312" w:cs="仿宋_GB2312"/>
          <w:bCs/>
          <w:color w:val="auto"/>
          <w:sz w:val="24"/>
          <w:highlight w:val="none"/>
        </w:rPr>
        <w:t>3</w:t>
      </w:r>
      <w:r>
        <w:rPr>
          <w:rFonts w:hint="eastAsia" w:ascii="仿宋_GB2312" w:hAnsi="仿宋_GB2312" w:eastAsia="仿宋_GB2312" w:cs="仿宋_GB2312"/>
          <w:bCs/>
          <w:color w:val="auto"/>
          <w:sz w:val="24"/>
          <w:highlight w:val="none"/>
        </w:rPr>
        <w:t>分，满分6分，需提供合同复印件或项目中标通知书复印件加盖供应商公章，否则不得分。（满分6分）。</w:t>
      </w:r>
    </w:p>
    <w:p>
      <w:pPr>
        <w:autoSpaceDE w:val="0"/>
        <w:autoSpaceDN w:val="0"/>
        <w:adjustRightInd w:val="0"/>
        <w:snapToGrid w:val="0"/>
        <w:spacing w:line="360" w:lineRule="auto"/>
        <w:ind w:firstLine="482"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b/>
          <w:color w:val="auto"/>
          <w:sz w:val="24"/>
          <w:highlight w:val="none"/>
        </w:rPr>
        <w:t>（四）总得分=1+2+3。</w:t>
      </w:r>
    </w:p>
    <w:p>
      <w:pPr>
        <w:pStyle w:val="7"/>
        <w:snapToGrid w:val="0"/>
        <w:spacing w:line="360" w:lineRule="auto"/>
        <w:ind w:firstLine="482" w:firstLineChars="200"/>
        <w:jc w:val="left"/>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rPr>
        <w:t>三、中标候选人推荐原则</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1）磋商小组将根据得分由高到低排列次序并推荐三名成交候选供应商，并编写评审报告。磋商小组根据综合得分由高到低排列次序，若得分相同时，以评审报价（最后报价及享受政府采购政策的优惠扣除）由低到高顺序排列；若得分相同且评审报价相同的，以磋商报价由低到高顺序排列；若仍相同时，按售后服务分由高到低顺序排列并推荐成交候选供应商。若仍相同时，则由磋商小组集体讨论确定。</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（2）采购方应当确定磋商小组推荐排名第一的供应商为成交供应商。</w:t>
      </w:r>
    </w:p>
    <w:p>
      <w:pPr>
        <w:snapToGrid w:val="0"/>
        <w:spacing w:line="360" w:lineRule="auto"/>
        <w:ind w:firstLine="480" w:firstLineChars="200"/>
        <w:jc w:val="left"/>
        <w:rPr>
          <w:rFonts w:hint="eastAsia" w:ascii="仿宋_GB2312" w:hAnsi="仿宋_GB2312" w:eastAsia="仿宋_GB2312" w:cs="仿宋_GB2312"/>
          <w:bCs/>
          <w:color w:val="auto"/>
          <w:sz w:val="24"/>
          <w:highlight w:val="none"/>
        </w:rPr>
      </w:pPr>
      <w:r>
        <w:rPr>
          <w:rFonts w:hint="eastAsia" w:ascii="仿宋_GB2312" w:hAnsi="仿宋_GB2312" w:eastAsia="仿宋_GB2312" w:cs="仿宋_GB2312"/>
          <w:bCs/>
          <w:color w:val="auto"/>
          <w:sz w:val="24"/>
          <w:highlight w:val="none"/>
        </w:rPr>
        <w:t>（3）排名第一的成交候选人放弃成交、因不可抗力提出不能履行合同，或信用信息查询不合格，或者磋商文件规定应当提交履约保证金而在规定的期限内未能提交的，采购方可以确定排名第二的成交候选人为成交供应商，采购方也可以决定重新采购。</w:t>
      </w:r>
    </w:p>
    <w:p>
      <w:pPr>
        <w:snapToGrid w:val="0"/>
        <w:spacing w:line="360" w:lineRule="auto"/>
        <w:ind w:firstLine="480" w:firstLineChars="200"/>
        <w:jc w:val="left"/>
        <w:rPr>
          <w:rFonts w:hint="eastAsia" w:ascii="仿宋_GB2312" w:hAnsi="仿宋_GB2312" w:eastAsia="仿宋_GB2312" w:cs="仿宋_GB2312"/>
          <w:color w:val="auto"/>
          <w:sz w:val="24"/>
          <w:highlight w:val="none"/>
        </w:rPr>
      </w:pPr>
      <w:r>
        <w:rPr>
          <w:rFonts w:hint="eastAsia" w:ascii="仿宋_GB2312" w:hAnsi="仿宋_GB2312" w:eastAsia="仿宋_GB2312" w:cs="仿宋_GB2312"/>
          <w:bCs/>
          <w:color w:val="auto"/>
          <w:sz w:val="24"/>
          <w:highlight w:val="none"/>
        </w:rPr>
        <w:t>（4）第二成交候选人因前款规定的同样原因不能签订合同的，采购方可以确定排名第三的成交候选人为成交供应商，采购方也可以决定重新采购。</w:t>
      </w:r>
    </w:p>
    <w:p>
      <w:pPr>
        <w:rPr>
          <w:rFonts w:hint="eastAsia"/>
          <w:color w:val="auto"/>
          <w:highlight w:val="none"/>
        </w:rPr>
      </w:pPr>
    </w:p>
    <w:p>
      <w:pPr>
        <w:rPr>
          <w:rFonts w:hint="eastAsia"/>
          <w:color w:val="auto"/>
          <w:highlight w:val="none"/>
        </w:rPr>
      </w:pPr>
    </w:p>
    <w:p>
      <w:pPr>
        <w:outlineLvl w:val="0"/>
        <w:rPr>
          <w:rFonts w:hint="eastAsia" w:hAnsi="宋体"/>
          <w:color w:val="auto"/>
          <w:szCs w:val="21"/>
          <w:highlight w:val="none"/>
        </w:rPr>
        <w:sectPr>
          <w:footerReference r:id="rId12" w:type="default"/>
          <w:pgSz w:w="11906" w:h="16838"/>
          <w:pgMar w:top="1418" w:right="1418" w:bottom="1418" w:left="1418" w:header="851" w:footer="992" w:gutter="0"/>
          <w:pgNumType w:start="14"/>
          <w:cols w:space="720" w:num="1"/>
          <w:docGrid w:type="lines" w:linePitch="312" w:charSpace="0"/>
        </w:sectPr>
      </w:pPr>
      <w:bookmarkStart w:id="17" w:name="_Toc24295"/>
    </w:p>
    <w:p>
      <w:pPr>
        <w:pStyle w:val="3"/>
        <w:widowControl/>
        <w:jc w:val="center"/>
        <w:rPr>
          <w:rFonts w:hint="eastAsia" w:ascii="仿宋_GB2312" w:hAnsi="仿宋_GB2312" w:eastAsia="仿宋_GB2312" w:cs="仿宋_GB2312"/>
          <w:bCs/>
          <w:color w:val="auto"/>
          <w:kern w:val="2"/>
          <w:highlight w:val="none"/>
          <w:lang w:bidi="ar"/>
        </w:rPr>
      </w:pPr>
      <w:r>
        <w:rPr>
          <w:rFonts w:hint="eastAsia" w:ascii="宋体" w:hAnsi="宋体" w:eastAsia="宋体" w:cs="宋体"/>
          <w:bCs/>
          <w:color w:val="auto"/>
          <w:highlight w:val="none"/>
        </w:rPr>
        <w:t>第五章  合同格式</w:t>
      </w:r>
      <w:r>
        <w:rPr>
          <w:rFonts w:hint="eastAsia" w:ascii="仿宋_GB2312" w:hAnsi="仿宋_GB2312" w:eastAsia="仿宋_GB2312" w:cs="仿宋_GB2312"/>
          <w:bCs/>
          <w:color w:val="auto"/>
          <w:kern w:val="2"/>
          <w:highlight w:val="none"/>
          <w:lang w:bidi="ar"/>
        </w:rPr>
        <w:t xml:space="preserve"> </w:t>
      </w:r>
    </w:p>
    <w:p>
      <w:pPr>
        <w:spacing w:line="560" w:lineRule="exact"/>
        <w:jc w:val="center"/>
        <w:rPr>
          <w:rFonts w:eastAsia="华文中宋"/>
          <w:color w:val="auto"/>
          <w:sz w:val="44"/>
          <w:szCs w:val="44"/>
          <w:highlight w:val="none"/>
        </w:rPr>
      </w:pPr>
      <w:r>
        <w:rPr>
          <w:rFonts w:hint="eastAsia" w:eastAsia="华文中宋"/>
          <w:color w:val="auto"/>
          <w:sz w:val="44"/>
          <w:szCs w:val="44"/>
          <w:highlight w:val="none"/>
        </w:rPr>
        <w:t>客服热线系统及坐席话务服务合同</w:t>
      </w:r>
    </w:p>
    <w:p>
      <w:pPr>
        <w:adjustRightInd w:val="0"/>
        <w:snapToGrid w:val="0"/>
        <w:spacing w:line="300" w:lineRule="auto"/>
        <w:jc w:val="right"/>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合同编号：</w:t>
      </w:r>
    </w:p>
    <w:p>
      <w:pPr>
        <w:snapToGrid w:val="0"/>
        <w:spacing w:line="300" w:lineRule="auto"/>
        <w:jc w:val="left"/>
        <w:rPr>
          <w:rFonts w:hint="eastAsia" w:eastAsia="仿宋_GB2312"/>
          <w:color w:val="auto"/>
          <w:sz w:val="28"/>
          <w:szCs w:val="28"/>
          <w:highlight w:val="none"/>
        </w:rPr>
      </w:pPr>
      <w:r>
        <w:rPr>
          <w:rFonts w:hint="eastAsia" w:eastAsia="仿宋_GB2312"/>
          <w:color w:val="auto"/>
          <w:sz w:val="28"/>
          <w:szCs w:val="28"/>
          <w:highlight w:val="none"/>
        </w:rPr>
        <w:t>甲方：</w:t>
      </w:r>
    </w:p>
    <w:p>
      <w:pPr>
        <w:snapToGrid w:val="0"/>
        <w:spacing w:line="300" w:lineRule="auto"/>
        <w:jc w:val="left"/>
        <w:rPr>
          <w:rFonts w:hint="eastAsia" w:eastAsia="仿宋_GB2312"/>
          <w:color w:val="auto"/>
          <w:sz w:val="28"/>
          <w:szCs w:val="28"/>
          <w:highlight w:val="none"/>
        </w:rPr>
      </w:pPr>
      <w:r>
        <w:rPr>
          <w:rFonts w:hint="eastAsia" w:eastAsia="仿宋_GB2312"/>
          <w:color w:val="auto"/>
          <w:sz w:val="28"/>
          <w:szCs w:val="28"/>
          <w:highlight w:val="none"/>
        </w:rPr>
        <w:t>乙方：</w:t>
      </w:r>
    </w:p>
    <w:p>
      <w:pPr>
        <w:snapToGrid w:val="0"/>
        <w:spacing w:line="300" w:lineRule="auto"/>
        <w:jc w:val="left"/>
        <w:rPr>
          <w:rFonts w:hint="eastAsia" w:eastAsia="仿宋_GB2312"/>
          <w:color w:val="auto"/>
          <w:sz w:val="28"/>
          <w:szCs w:val="28"/>
          <w:highlight w:val="none"/>
        </w:rPr>
      </w:pP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甲乙双方本着平等、自愿、公平的原则，根据《中华人民共和国民法典》合同篇及相关法律法规的规定，经协商一致达成本合同：</w:t>
      </w:r>
    </w:p>
    <w:p>
      <w:pPr>
        <w:numPr>
          <w:ilvl w:val="0"/>
          <w:numId w:val="1"/>
        </w:numPr>
        <w:snapToGrid w:val="0"/>
        <w:spacing w:line="300" w:lineRule="auto"/>
        <w:ind w:firstLine="600"/>
        <w:rPr>
          <w:rFonts w:hint="eastAsia" w:eastAsia="仿宋_GB2312"/>
          <w:color w:val="auto"/>
          <w:sz w:val="28"/>
          <w:szCs w:val="28"/>
          <w:highlight w:val="none"/>
        </w:rPr>
      </w:pPr>
      <w:r>
        <w:rPr>
          <w:rFonts w:hint="eastAsia" w:eastAsia="仿宋_GB2312"/>
          <w:color w:val="auto"/>
          <w:sz w:val="28"/>
          <w:szCs w:val="28"/>
          <w:highlight w:val="none"/>
        </w:rPr>
        <w:t>乙方向甲方提供客服系统服务、坐席话务服务、通讯保障服务及技术支持服务等。服务内容如下：</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1.客服系统服务</w:t>
      </w:r>
    </w:p>
    <w:p>
      <w:pPr>
        <w:snapToGrid w:val="0"/>
        <w:spacing w:line="300" w:lineRule="auto"/>
        <w:ind w:firstLine="640"/>
        <w:rPr>
          <w:rFonts w:hint="eastAsia" w:eastAsia="仿宋_GB2312"/>
          <w:color w:val="auto"/>
          <w:sz w:val="28"/>
          <w:szCs w:val="28"/>
          <w:highlight w:val="none"/>
        </w:rPr>
      </w:pPr>
      <w:r>
        <w:rPr>
          <w:rFonts w:hint="eastAsia" w:ascii="仿宋_GB2312" w:hAnsi="仿宋_GB2312" w:eastAsia="仿宋_GB2312" w:cs="仿宋_GB2312"/>
          <w:color w:val="auto"/>
          <w:sz w:val="28"/>
          <w:szCs w:val="28"/>
          <w:highlight w:val="none"/>
        </w:rPr>
        <w:t>（1）乙方向甲方</w:t>
      </w:r>
      <w:r>
        <w:rPr>
          <w:rFonts w:hint="eastAsia" w:eastAsia="仿宋_GB2312"/>
          <w:color w:val="auto"/>
          <w:sz w:val="28"/>
          <w:szCs w:val="28"/>
          <w:highlight w:val="none"/>
        </w:rPr>
        <w:t>提供智能客服系统、12个客服人员账号及相关支持服务。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（2）乙方负责智能客服系统的安装、调试及使用培训。</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（3）智能客服系统功能应按照《客服热线系统功能清单》（详见附件一）进行配置。</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（4）乙方需协助甲方建立客服知识库。</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（5）客服系统应于协议签订后4周内正式上线运行。</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2.坐席话务服务</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（1）乙方向甲方提供3名专业的中英双语驻场话务员，其中一名双语话务员服务期为一年，另两名双语话务员服务期为四个月（短期服务起始时间由甲方根据客服热线业务情况决定）。</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（2）乙方需根据甲方的业务需要，动态调整派驻人员数量，此部分费用以《服务费用明细》（详见附件二）的驻场人员价格为依据。</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（3）坐席话务素质要求</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1）大专及以上学历，专业不限，性别不限，年龄在22-40岁之间（含）。</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2）具有较强的学习能力和专业的客服知识，经过甲方业务培训后能迅速上岗。</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3）具有分析、处理、应变及解决问题的工作能力，以及良好的客户服务意识，综合素质较高。</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4）富有同情心、善于倾听、引导和与人沟通。</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5）具有优秀的语言表达能力和沟通能力，口齿清晰，普通话标准，能使用流畅的英文与外商沟通交流。</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6）能熟练使用中文打字软件和办公软件，有较强的文字归纳能力。</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7）工作责任心强，保密意识强，组织纪律性强，服务大局工作安排。</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8）无犯罪记录和不良行为记录。</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9）符合以下条件之一者优先聘用：中共党员，有相关工作经验，能熟悉使用当地方言，服务所在地生源。</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（4）遵守甲方工作纪律和保密纪律，服从甲方相关工作的安排及管理。</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（5）如乙方提供的双语话务员不能达到甲方的工作要求或有违法违纪行为的，甲方有权要求乙方及时更换话务员。</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3.通讯保障服务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（1）乙方提供1条2M支持30路并发的语音中继用于坐席服务。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（2）乙方根据甲方需求提供客服热线号码，并确保热线号码全年正常使用。</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（3）乙方负责通讯线路的安装部署及保障全年所有坐席的通讯线路正常使用。</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4.技术支持服务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乙方负责客服热线远程及现场技术支撑，根据实际情况解决现场出现的技术问题，即时响应，动态优化，保证客服热线的正常运营。</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5.其他服务</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（1）乙方应根据甲方的需求，协助甲方建立相应的客服热线管理制度及执行管理办法，包括但不限于客服运营业务流程、标准化客服业务管理办法、客服人员培养办法及客服热线相关制度等。</w:t>
      </w:r>
    </w:p>
    <w:p>
      <w:pPr>
        <w:snapToGrid w:val="0"/>
        <w:spacing w:line="300" w:lineRule="auto"/>
        <w:ind w:firstLine="640"/>
        <w:rPr>
          <w:rFonts w:hint="eastAsia" w:eastAsia="仿宋_GB2312"/>
          <w:color w:val="auto"/>
          <w:sz w:val="28"/>
          <w:szCs w:val="28"/>
          <w:highlight w:val="none"/>
        </w:rPr>
      </w:pPr>
      <w:r>
        <w:rPr>
          <w:rFonts w:hint="eastAsia" w:eastAsia="仿宋_GB2312"/>
          <w:color w:val="auto"/>
          <w:sz w:val="28"/>
          <w:szCs w:val="28"/>
          <w:highlight w:val="none"/>
        </w:rPr>
        <w:t>（2）提供不少于3场客服业务培训，包括但不限于客服服务标准化流程培训、客服业务能力培训和客服业务知识培训。</w:t>
      </w:r>
    </w:p>
    <w:p>
      <w:pPr>
        <w:snapToGrid w:val="0"/>
        <w:spacing w:line="300" w:lineRule="auto"/>
        <w:ind w:firstLine="600"/>
        <w:rPr>
          <w:rFonts w:hint="eastAsia" w:eastAsia="仿宋_GB2312"/>
          <w:color w:val="auto"/>
          <w:sz w:val="28"/>
          <w:szCs w:val="28"/>
          <w:highlight w:val="none"/>
        </w:rPr>
      </w:pPr>
      <w:r>
        <w:rPr>
          <w:rFonts w:hint="eastAsia" w:eastAsia="仿宋_GB2312"/>
          <w:color w:val="auto"/>
          <w:sz w:val="28"/>
          <w:szCs w:val="28"/>
          <w:highlight w:val="none"/>
        </w:rPr>
        <w:t>第二条 甲方委托乙方完成的服务内容及双方权利义务</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1.乙方按合同的要求做好提供客服系统、坐席话务员、通讯保障及技术支持等服务，并对服务质量负责。</w:t>
      </w:r>
    </w:p>
    <w:p>
      <w:pPr>
        <w:snapToGrid w:val="0"/>
        <w:spacing w:line="300" w:lineRule="auto"/>
        <w:ind w:left="2" w:firstLine="557" w:firstLineChars="199"/>
        <w:rPr>
          <w:rFonts w:hint="eastAsia" w:eastAsia="仿宋_GB2312"/>
          <w:color w:val="auto"/>
          <w:kern w:val="0"/>
          <w:sz w:val="28"/>
          <w:szCs w:val="28"/>
          <w:highlight w:val="none"/>
        </w:rPr>
      </w:pPr>
      <w:r>
        <w:rPr>
          <w:rFonts w:hint="eastAsia" w:eastAsia="仿宋_GB2312"/>
          <w:color w:val="auto"/>
          <w:sz w:val="28"/>
          <w:szCs w:val="28"/>
          <w:highlight w:val="none"/>
        </w:rPr>
        <w:t>2.为确保数据安全性，防止泄露和遗失，乙方</w:t>
      </w:r>
      <w:r>
        <w:rPr>
          <w:rFonts w:hint="eastAsia" w:eastAsia="仿宋_GB2312"/>
          <w:color w:val="auto"/>
          <w:kern w:val="0"/>
          <w:sz w:val="28"/>
          <w:szCs w:val="28"/>
          <w:highlight w:val="none"/>
        </w:rPr>
        <w:t>须与甲方签订保密协议，做好相关保密工作。</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kern w:val="0"/>
          <w:sz w:val="28"/>
          <w:szCs w:val="28"/>
          <w:highlight w:val="none"/>
        </w:rPr>
        <w:t>3.</w:t>
      </w:r>
      <w:r>
        <w:rPr>
          <w:rFonts w:hint="eastAsia" w:eastAsia="仿宋_GB2312"/>
          <w:color w:val="auto"/>
          <w:sz w:val="28"/>
          <w:szCs w:val="28"/>
          <w:highlight w:val="none"/>
        </w:rPr>
        <w:t>其他上述条款未细列，但属于客服热线业务范畴不涉及经费开支的其他工作，可由甲方与乙方协商一致后补充确认为执行内容。</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4.乙方服务工作过程中如侵犯了第三方合法权益而引发的任何纠纷或诉讼，均由乙方负责交涉并承担全部责任。</w:t>
      </w:r>
    </w:p>
    <w:p>
      <w:pPr>
        <w:snapToGrid w:val="0"/>
        <w:spacing w:line="300" w:lineRule="auto"/>
        <w:ind w:left="2" w:firstLine="557" w:firstLineChars="199"/>
        <w:rPr>
          <w:rFonts w:hint="eastAsia" w:eastAsia="仿宋_GB2312"/>
          <w:color w:val="auto"/>
          <w:sz w:val="28"/>
          <w:szCs w:val="28"/>
          <w:highlight w:val="none"/>
        </w:rPr>
      </w:pPr>
      <w:r>
        <w:rPr>
          <w:rFonts w:hint="eastAsia" w:eastAsia="仿宋_GB2312"/>
          <w:color w:val="auto"/>
          <w:sz w:val="28"/>
          <w:szCs w:val="28"/>
          <w:highlight w:val="none"/>
        </w:rPr>
        <w:t>5.本协议执行过程中如乙方获知甲方内部资料、国家机密等保密信息，乙方负有保密义务，不得泄露于第三方。如有违反，乙方应承担由此所造成的一切法律责任。</w:t>
      </w:r>
    </w:p>
    <w:p>
      <w:pPr>
        <w:snapToGrid w:val="0"/>
        <w:spacing w:line="300" w:lineRule="auto"/>
        <w:ind w:left="2" w:firstLine="557" w:firstLineChars="19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第三条 本合同固定项目的总金额为人民币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），通讯费用根据实际产生费用按季度另外结算；</w:t>
      </w:r>
      <w:r>
        <w:rPr>
          <w:rFonts w:hint="eastAsia" w:ascii="仿宋" w:hAnsi="仿宋" w:eastAsia="仿宋" w:cs="仿宋"/>
          <w:bCs/>
          <w:color w:val="auto"/>
          <w:sz w:val="28"/>
          <w:szCs w:val="28"/>
          <w:highlight w:val="none"/>
        </w:rPr>
        <w:t>服务期为1年，即本协议生效之日起至次年同月同日止</w:t>
      </w:r>
      <w:r>
        <w:rPr>
          <w:rFonts w:hint="eastAsia" w:ascii="仿宋" w:hAnsi="仿宋" w:eastAsia="仿宋" w:cs="仿宋"/>
          <w:color w:val="auto"/>
          <w:sz w:val="28"/>
          <w:szCs w:val="28"/>
          <w:highlight w:val="none"/>
        </w:rPr>
        <w:t>。乙方对人员、资金等项目相关方面负有监督、统筹、协调、支持的责任，确保按照协议约定全面履行义务。《服务费用明细》详见附件二。</w:t>
      </w:r>
    </w:p>
    <w:p>
      <w:pPr>
        <w:snapToGrid w:val="0"/>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1.付款方式：项目费用分3期支付，支付方式为银行转账：</w:t>
      </w:r>
    </w:p>
    <w:p>
      <w:pPr>
        <w:snapToGrid w:val="0"/>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第1期：自本合同签署后20个工作日内，甲方收到乙方开具的等额增值税专用发票后，甲方向乙方支付合同总额40%，即人民币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pPr>
        <w:snapToGrid w:val="0"/>
        <w:spacing w:line="30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第2期：合同签署满6个月并收到乙方开具的等额增值税专用发票后，甲方向乙方支付合同总额40%，即人民币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w:t>
      </w:r>
    </w:p>
    <w:p>
      <w:pPr>
        <w:snapToGrid w:val="0"/>
        <w:spacing w:line="300" w:lineRule="auto"/>
        <w:ind w:firstLine="560" w:firstLineChars="200"/>
        <w:rPr>
          <w:rFonts w:hint="eastAsia" w:eastAsia="仿宋_GB2312"/>
          <w:color w:val="auto"/>
          <w:sz w:val="28"/>
          <w:szCs w:val="28"/>
          <w:highlight w:val="none"/>
        </w:rPr>
      </w:pPr>
      <w:r>
        <w:rPr>
          <w:rFonts w:hint="eastAsia" w:ascii="仿宋" w:hAnsi="仿宋" w:eastAsia="仿宋" w:cs="仿宋"/>
          <w:color w:val="auto"/>
          <w:sz w:val="28"/>
          <w:szCs w:val="28"/>
          <w:highlight w:val="none"/>
        </w:rPr>
        <w:t>第3期：服务期满后，乙方协助甲方将系统中的资料数据完全导出，并开具等额增值税专用发票后，甲方在收到发票后20个工作日内将项目结算余款人民币     （小写：</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rPr>
        <w:t xml:space="preserve">    ）支付给乙方。</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2.乙方指定以下收款账户，账户信息如下：</w:t>
      </w:r>
    </w:p>
    <w:p>
      <w:pPr>
        <w:snapToGrid w:val="0"/>
        <w:spacing w:line="300" w:lineRule="auto"/>
        <w:ind w:firstLine="660"/>
        <w:rPr>
          <w:rFonts w:hint="eastAsia" w:eastAsia="仿宋_GB2312"/>
          <w:color w:val="auto"/>
          <w:sz w:val="28"/>
          <w:szCs w:val="28"/>
          <w:highlight w:val="none"/>
        </w:rPr>
      </w:pPr>
      <w:r>
        <w:rPr>
          <w:rFonts w:hint="eastAsia" w:eastAsia="仿宋_GB2312"/>
          <w:color w:val="auto"/>
          <w:sz w:val="28"/>
          <w:szCs w:val="28"/>
          <w:highlight w:val="none"/>
        </w:rPr>
        <w:t>开户名称：</w:t>
      </w:r>
    </w:p>
    <w:p>
      <w:pPr>
        <w:snapToGrid w:val="0"/>
        <w:spacing w:line="300" w:lineRule="auto"/>
        <w:ind w:firstLine="660"/>
        <w:rPr>
          <w:rFonts w:hint="eastAsia" w:eastAsia="仿宋_GB2312"/>
          <w:color w:val="auto"/>
          <w:sz w:val="28"/>
          <w:szCs w:val="28"/>
          <w:highlight w:val="none"/>
        </w:rPr>
      </w:pPr>
      <w:r>
        <w:rPr>
          <w:rFonts w:hint="eastAsia" w:eastAsia="仿宋_GB2312"/>
          <w:color w:val="auto"/>
          <w:sz w:val="28"/>
          <w:szCs w:val="28"/>
          <w:highlight w:val="none"/>
        </w:rPr>
        <w:t>开户银行：</w:t>
      </w:r>
    </w:p>
    <w:p>
      <w:pPr>
        <w:snapToGrid w:val="0"/>
        <w:spacing w:line="300" w:lineRule="auto"/>
        <w:ind w:firstLine="660"/>
        <w:rPr>
          <w:rFonts w:hint="eastAsia" w:eastAsia="仿宋_GB2312"/>
          <w:color w:val="auto"/>
          <w:sz w:val="28"/>
          <w:szCs w:val="28"/>
          <w:highlight w:val="none"/>
        </w:rPr>
      </w:pPr>
      <w:r>
        <w:rPr>
          <w:rFonts w:hint="eastAsia" w:eastAsia="仿宋_GB2312"/>
          <w:color w:val="auto"/>
          <w:sz w:val="28"/>
          <w:szCs w:val="28"/>
          <w:highlight w:val="none"/>
        </w:rPr>
        <w:t>开户账号：</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3.本协议执行中相关的一切税费均由乙方负担。</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第四条 乙方未按本协议和附件中的服务标准提供服务，造成严重后果的，乙方应按本协议合计金额5%向甲方支付违约金。由于甲方的原因造成合同不能如期履行的，双方可根据具体情况顺延合同的履行期，对乙方因此造成的损失，甲方应予以补偿。</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第五条 不可抗力</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1.合同期内，由于不可抗力原因导致协议无法履行或履行障碍，双方互不承担违约责任，但先发现的一方有义务在第一时间内书面通知其他一方，任何一方因不可抗力原因导致不能履行合同，则合同履行期可延长，其延长期与不可抗力影响期相同。</w:t>
      </w:r>
    </w:p>
    <w:p>
      <w:pPr>
        <w:snapToGrid w:val="0"/>
        <w:spacing w:line="300" w:lineRule="auto"/>
        <w:ind w:left="2" w:firstLine="560" w:firstLineChars="200"/>
        <w:rPr>
          <w:rFonts w:hint="eastAsia" w:eastAsia="仿宋_GB2312"/>
          <w:color w:val="auto"/>
          <w:sz w:val="28"/>
          <w:szCs w:val="28"/>
          <w:highlight w:val="none"/>
        </w:rPr>
      </w:pPr>
      <w:r>
        <w:rPr>
          <w:rFonts w:hint="eastAsia" w:eastAsia="仿宋_GB2312"/>
          <w:color w:val="auto"/>
          <w:sz w:val="28"/>
          <w:szCs w:val="28"/>
          <w:highlight w:val="none"/>
        </w:rPr>
        <w:t>2.合同期内，不可抗力事件延续一百二十天以上，双方应通过友好协商，确定是否继续履行合同。</w:t>
      </w:r>
    </w:p>
    <w:p>
      <w:pPr>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第六条 协议引发的争议应由甲乙双方友好协商解决。双方协商不成或不愿协商的，可向南宁仲裁委员会申请仲裁。</w:t>
      </w:r>
    </w:p>
    <w:p>
      <w:pPr>
        <w:snapToGrid w:val="0"/>
        <w:spacing w:line="30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第七条 通知和送达</w:t>
      </w:r>
    </w:p>
    <w:p>
      <w:pPr>
        <w:snapToGrid w:val="0"/>
        <w:spacing w:line="300" w:lineRule="auto"/>
        <w:ind w:firstLine="56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甲、乙双方同意，法院、仲裁机构等国家机关和合同当事人可以采用直接送达、留置送达及邮寄、传真、电子邮件等法律认可的方式送达就有关本合同的履行、诉讼、仲裁等事项发出的任何法律文件、通讯和通知，送达地址及联系方式以本合同甲乙双方列示的为准。如发生变动，甲乙双方应立即书面通知对方。合同一方当事人以及法院、仲裁机构等国家机关只要按照本合同的联系方式发送，即应视作在下列日期被送达：（1）邮递（包括特快专递、平信邮寄、挂号邮寄），以邮寄之日后的第七个工作日视为送达日；（2）传真或其他电子通讯方式，以发送之日视为送达日；（3）专人送达，以收件人签收之日视为送达日。如果发生收件人拒绝签收或其它无法送达的情形的，则从发件人寄出文书之日起视为已经送达对方。</w:t>
      </w:r>
    </w:p>
    <w:p>
      <w:pPr>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第八条 除《中华人民共和国政府采购法》第五十条规定的情形外，本合同一经签订，甲乙双方不得擅自变更、中止或终止。</w:t>
      </w:r>
    </w:p>
    <w:p>
      <w:pPr>
        <w:tabs>
          <w:tab w:val="left" w:pos="0"/>
        </w:tabs>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第九条 本合同正本一式陆份，甲乙双方各执叁份，自双方法定代表人或授权代理人签字并加盖公章之日起生效。</w:t>
      </w:r>
    </w:p>
    <w:p>
      <w:pPr>
        <w:snapToGrid w:val="0"/>
        <w:spacing w:line="300" w:lineRule="auto"/>
        <w:rPr>
          <w:rFonts w:hint="eastAsia" w:eastAsia="仿宋_GB2312"/>
          <w:color w:val="auto"/>
          <w:sz w:val="28"/>
          <w:szCs w:val="28"/>
          <w:highlight w:val="none"/>
        </w:rPr>
      </w:pPr>
    </w:p>
    <w:p>
      <w:pPr>
        <w:snapToGrid w:val="0"/>
        <w:spacing w:line="300" w:lineRule="auto"/>
        <w:ind w:firstLine="560" w:firstLineChars="200"/>
        <w:jc w:val="left"/>
        <w:rPr>
          <w:rFonts w:hint="eastAsia" w:eastAsia="仿宋_GB2312"/>
          <w:color w:val="auto"/>
          <w:sz w:val="28"/>
          <w:szCs w:val="28"/>
          <w:highlight w:val="none"/>
        </w:rPr>
      </w:pPr>
      <w:r>
        <w:rPr>
          <w:rFonts w:hint="eastAsia" w:eastAsia="仿宋_GB2312"/>
          <w:color w:val="auto"/>
          <w:sz w:val="28"/>
          <w:szCs w:val="28"/>
          <w:highlight w:val="none"/>
        </w:rPr>
        <w:t xml:space="preserve">甲方（公章）： </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法人代表或授权代理人（签字）：</w:t>
      </w:r>
    </w:p>
    <w:p>
      <w:pPr>
        <w:snapToGrid w:val="0"/>
        <w:spacing w:line="300" w:lineRule="auto"/>
        <w:rPr>
          <w:rFonts w:hint="eastAsia" w:eastAsia="仿宋_GB2312"/>
          <w:color w:val="auto"/>
          <w:sz w:val="28"/>
          <w:szCs w:val="28"/>
          <w:highlight w:val="none"/>
        </w:rPr>
      </w:pP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 xml:space="preserve">乙方（公章）：               </w:t>
      </w:r>
    </w:p>
    <w:p>
      <w:pPr>
        <w:snapToGrid w:val="0"/>
        <w:spacing w:line="300" w:lineRule="auto"/>
        <w:ind w:firstLine="560" w:firstLineChars="200"/>
        <w:rPr>
          <w:rFonts w:hint="eastAsia" w:eastAsia="仿宋_GB2312"/>
          <w:color w:val="auto"/>
          <w:sz w:val="28"/>
          <w:szCs w:val="28"/>
          <w:highlight w:val="none"/>
        </w:rPr>
      </w:pPr>
      <w:r>
        <w:rPr>
          <w:rFonts w:hint="eastAsia" w:eastAsia="仿宋_GB2312"/>
          <w:color w:val="auto"/>
          <w:sz w:val="28"/>
          <w:szCs w:val="28"/>
          <w:highlight w:val="none"/>
        </w:rPr>
        <w:t>法人代表或授权代理人（签字）：</w:t>
      </w:r>
    </w:p>
    <w:p>
      <w:pPr>
        <w:snapToGrid w:val="0"/>
        <w:spacing w:line="300" w:lineRule="auto"/>
        <w:ind w:firstLine="560" w:firstLineChars="200"/>
        <w:rPr>
          <w:rFonts w:hint="eastAsia" w:eastAsia="仿宋_GB2312"/>
          <w:color w:val="auto"/>
          <w:sz w:val="28"/>
          <w:szCs w:val="28"/>
          <w:highlight w:val="none"/>
        </w:rPr>
      </w:pPr>
    </w:p>
    <w:p>
      <w:pPr>
        <w:snapToGrid w:val="0"/>
        <w:spacing w:line="300" w:lineRule="auto"/>
        <w:jc w:val="center"/>
        <w:rPr>
          <w:rFonts w:hint="eastAsia" w:eastAsia="仿宋_GB2312"/>
          <w:color w:val="auto"/>
          <w:sz w:val="32"/>
          <w:szCs w:val="32"/>
          <w:highlight w:val="none"/>
        </w:rPr>
      </w:pPr>
      <w:r>
        <w:rPr>
          <w:rFonts w:hint="eastAsia" w:eastAsia="仿宋_GB2312"/>
          <w:color w:val="auto"/>
          <w:sz w:val="28"/>
          <w:szCs w:val="28"/>
          <w:highlight w:val="none"/>
        </w:rPr>
        <w:t>签订时间：</w:t>
      </w:r>
    </w:p>
    <w:p>
      <w:pPr>
        <w:widowControl/>
        <w:snapToGrid w:val="0"/>
        <w:spacing w:line="300" w:lineRule="auto"/>
        <w:jc w:val="left"/>
        <w:rPr>
          <w:rFonts w:hint="eastAsia" w:eastAsia="黑体"/>
          <w:bCs/>
          <w:color w:val="auto"/>
          <w:kern w:val="0"/>
          <w:sz w:val="32"/>
          <w:szCs w:val="32"/>
          <w:highlight w:val="none"/>
        </w:rPr>
      </w:pPr>
      <w:r>
        <w:rPr>
          <w:rFonts w:hint="eastAsia" w:eastAsia="黑体"/>
          <w:bCs/>
          <w:color w:val="auto"/>
          <w:kern w:val="0"/>
          <w:sz w:val="32"/>
          <w:szCs w:val="32"/>
          <w:highlight w:val="none"/>
        </w:rPr>
        <w:br w:type="page"/>
      </w:r>
      <w:r>
        <w:rPr>
          <w:rFonts w:hint="eastAsia" w:ascii="仿宋" w:hAnsi="仿宋" w:eastAsia="仿宋" w:cs="仿宋"/>
          <w:bCs/>
          <w:color w:val="auto"/>
          <w:kern w:val="0"/>
          <w:sz w:val="28"/>
          <w:szCs w:val="28"/>
          <w:highlight w:val="none"/>
        </w:rPr>
        <w:t>合同附件一</w:t>
      </w:r>
    </w:p>
    <w:p>
      <w:pPr>
        <w:widowControl/>
        <w:spacing w:line="560" w:lineRule="exact"/>
        <w:jc w:val="left"/>
        <w:rPr>
          <w:rFonts w:hint="eastAsia" w:eastAsia="黑体"/>
          <w:bCs/>
          <w:color w:val="auto"/>
          <w:kern w:val="0"/>
          <w:sz w:val="32"/>
          <w:szCs w:val="32"/>
          <w:highlight w:val="none"/>
        </w:rPr>
      </w:pPr>
    </w:p>
    <w:tbl>
      <w:tblPr>
        <w:tblStyle w:val="14"/>
        <w:tblW w:w="0" w:type="auto"/>
        <w:tblInd w:w="0" w:type="dxa"/>
        <w:tblLayout w:type="fixed"/>
        <w:tblCellMar>
          <w:top w:w="0" w:type="dxa"/>
          <w:left w:w="0" w:type="dxa"/>
          <w:bottom w:w="0" w:type="dxa"/>
          <w:right w:w="0" w:type="dxa"/>
        </w:tblCellMar>
      </w:tblPr>
      <w:tblGrid>
        <w:gridCol w:w="1815"/>
        <w:gridCol w:w="2280"/>
        <w:gridCol w:w="2340"/>
        <w:gridCol w:w="2250"/>
      </w:tblGrid>
      <w:tr>
        <w:tblPrEx>
          <w:tblCellMar>
            <w:top w:w="0" w:type="dxa"/>
            <w:left w:w="0" w:type="dxa"/>
            <w:bottom w:w="0" w:type="dxa"/>
            <w:right w:w="0" w:type="dxa"/>
          </w:tblCellMar>
        </w:tblPrEx>
        <w:trPr>
          <w:trHeight w:val="360" w:hRule="atLeast"/>
        </w:trPr>
        <w:tc>
          <w:tcPr>
            <w:tcW w:w="8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kern w:val="0"/>
                <w:sz w:val="24"/>
                <w:highlight w:val="none"/>
                <w:lang w:bidi="ar"/>
              </w:rPr>
            </w:pPr>
            <w:r>
              <w:rPr>
                <w:rFonts w:hint="eastAsia" w:ascii="仿宋" w:hAnsi="仿宋" w:eastAsia="仿宋" w:cs="仿宋"/>
                <w:b/>
                <w:bCs/>
                <w:color w:val="auto"/>
                <w:sz w:val="28"/>
                <w:szCs w:val="28"/>
                <w:highlight w:val="none"/>
              </w:rPr>
              <w:t>客服热线系统功能清单</w:t>
            </w:r>
          </w:p>
        </w:tc>
      </w:tr>
      <w:tr>
        <w:tblPrEx>
          <w:tblCellMar>
            <w:top w:w="0" w:type="dxa"/>
            <w:left w:w="0" w:type="dxa"/>
            <w:bottom w:w="0" w:type="dxa"/>
            <w:right w:w="0" w:type="dxa"/>
          </w:tblCellMar>
        </w:tblPrEx>
        <w:trPr>
          <w:trHeight w:val="455" w:hRule="atLeast"/>
        </w:trPr>
        <w:tc>
          <w:tcPr>
            <w:tcW w:w="8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tabs>
                <w:tab w:val="left" w:pos="2362"/>
              </w:tabs>
              <w:spacing w:before="0" w:beforeAutospacing="0" w:after="0" w:afterAutospacing="0"/>
              <w:ind w:left="0" w:right="0"/>
              <w:textAlignment w:val="center"/>
              <w:rPr>
                <w:rFonts w:hint="eastAsia" w:ascii="仿宋" w:hAnsi="仿宋" w:eastAsia="仿宋" w:cs="仿宋"/>
                <w:b/>
                <w:color w:val="auto"/>
                <w:kern w:val="0"/>
                <w:sz w:val="24"/>
                <w:highlight w:val="none"/>
                <w:lang w:bidi="ar"/>
              </w:rPr>
            </w:pPr>
            <w:r>
              <w:rPr>
                <w:rFonts w:hint="eastAsia" w:ascii="仿宋" w:hAnsi="仿宋" w:eastAsia="仿宋" w:cs="仿宋"/>
                <w:b/>
                <w:color w:val="auto"/>
                <w:kern w:val="0"/>
                <w:sz w:val="24"/>
                <w:highlight w:val="none"/>
                <w:lang w:bidi="ar"/>
              </w:rPr>
              <w:t>主账号界面功能清单</w:t>
            </w:r>
          </w:p>
        </w:tc>
      </w:tr>
      <w:tr>
        <w:tblPrEx>
          <w:tblCellMar>
            <w:top w:w="0" w:type="dxa"/>
            <w:left w:w="0" w:type="dxa"/>
            <w:bottom w:w="0" w:type="dxa"/>
            <w:right w:w="0" w:type="dxa"/>
          </w:tblCellMar>
        </w:tblPrEx>
        <w:trPr>
          <w:trHeight w:val="360" w:hRule="atLeast"/>
        </w:trPr>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一级</w:t>
            </w:r>
          </w:p>
        </w:tc>
        <w:tc>
          <w:tcPr>
            <w:tcW w:w="228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二级</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三级</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bidi="ar"/>
              </w:rPr>
              <w:t>四级</w:t>
            </w: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首页</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我的工单</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我的接待</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在线监控</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电话坐席监控</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工单查询</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我的</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待处理的工单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我创建的工单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我解决的工单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SLA服务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大于24小时未分配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大于48小时未解决</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知识库</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机器人知识库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单轮问题管理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多轮问题管理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智能学习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未知问题学习</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管理设置</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接口管理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属性设置</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属性类别管理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自定义词库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寒暄问题</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同义词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专业名词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内部知识库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知识管理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客户中心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客户列表 </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 xml:space="preserve">公司列表 </w:t>
            </w:r>
          </w:p>
        </w:tc>
        <w:tc>
          <w:tcPr>
            <w:tcW w:w="23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统计</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满意度评价统计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工单统计概览</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客服工作量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工单分类统计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机器人回答统计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维护工作量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客户反馈</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呼叫中心客服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通话报表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坐席统计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通话记录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满意度统计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呼入统计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呼出统计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质检</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会话质检</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会话质检结果</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在线客服质检报表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呼叫客服</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通话质检</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呼叫客服得分</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通话质检记录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系统设置</w:t>
            </w: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功能设置</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上下班时间设置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自定义字段</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客服状态自定义</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支持渠道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桌面网站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移动网站</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APP</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微信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微博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企业微信</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微信小程序</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第三方平台</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机器人信息</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智能优化策略</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关键词屏蔽</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转人工关键词设置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客服工作台设置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在线客服分配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会话自动应答</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询前表单设置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留言设置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在线质检评分方案设定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人工满意度评价设置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会话报警设置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敏感词设置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呼叫中心</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电销技能组设置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坐席号码设置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通话设置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呼叫质检评分方案设定</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IVR设置</w:t>
            </w: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基础设置</w:t>
            </w: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IVR流程设置</w:t>
            </w: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5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自定义语音库</w:t>
            </w: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工单技能组设置</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工单自定义字段</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工单自定义模板</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工单自定义分类</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流转触发器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定时触发器</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工单处理时效（SLA）</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客服管理</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组织架构</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535" w:hRule="atLeast"/>
        </w:trPr>
        <w:tc>
          <w:tcPr>
            <w:tcW w:w="8685"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bidi="ar"/>
              </w:rPr>
              <w:t>客服账号界面功能清单</w:t>
            </w: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首页</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我的工单</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我的接待</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我的通话</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工单中心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工单查询</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自定义查询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待处理的工单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我处理的工单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我创建的工单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我解决的工单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SLA服务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大于24小时未分配</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大于48小时未解决</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知识库</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内部知识库</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知识查询</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restart"/>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呼叫中心</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通话记录</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vMerge w:val="continue"/>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联系计划</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kern w:val="0"/>
                <w:sz w:val="24"/>
                <w:highlight w:val="none"/>
                <w:lang w:bidi="ar"/>
              </w:rPr>
            </w:pP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r>
        <w:tblPrEx>
          <w:tblCellMar>
            <w:top w:w="0" w:type="dxa"/>
            <w:left w:w="0" w:type="dxa"/>
            <w:bottom w:w="0" w:type="dxa"/>
            <w:right w:w="0" w:type="dxa"/>
          </w:tblCellMar>
        </w:tblPrEx>
        <w:trPr>
          <w:trHeight w:val="360" w:hRule="atLeast"/>
        </w:trPr>
        <w:tc>
          <w:tcPr>
            <w:tcW w:w="181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短信</w:t>
            </w:r>
          </w:p>
        </w:tc>
        <w:tc>
          <w:tcPr>
            <w:tcW w:w="22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单发短信</w:t>
            </w:r>
          </w:p>
        </w:tc>
        <w:tc>
          <w:tcPr>
            <w:tcW w:w="23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ind w:left="0" w:right="0"/>
              <w:jc w:val="left"/>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我的短信记录</w:t>
            </w:r>
          </w:p>
        </w:tc>
        <w:tc>
          <w:tcPr>
            <w:tcW w:w="225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suppressLineNumbers w:val="0"/>
              <w:spacing w:before="0" w:beforeAutospacing="0" w:after="0" w:afterAutospacing="0"/>
              <w:ind w:left="0" w:right="0"/>
              <w:jc w:val="left"/>
              <w:rPr>
                <w:rFonts w:hint="eastAsia" w:ascii="仿宋" w:hAnsi="仿宋" w:eastAsia="仿宋" w:cs="仿宋"/>
                <w:color w:val="auto"/>
                <w:sz w:val="24"/>
                <w:highlight w:val="none"/>
              </w:rPr>
            </w:pPr>
          </w:p>
        </w:tc>
      </w:tr>
    </w:tbl>
    <w:p>
      <w:pPr>
        <w:widowControl/>
        <w:spacing w:line="560" w:lineRule="exact"/>
        <w:jc w:val="left"/>
        <w:rPr>
          <w:rFonts w:hint="eastAsia" w:eastAsia="黑体"/>
          <w:bCs/>
          <w:color w:val="auto"/>
          <w:kern w:val="0"/>
          <w:sz w:val="32"/>
          <w:szCs w:val="32"/>
          <w:highlight w:val="none"/>
        </w:rPr>
      </w:pPr>
    </w:p>
    <w:p>
      <w:pPr>
        <w:widowControl/>
        <w:jc w:val="left"/>
        <w:rPr>
          <w:rFonts w:hint="eastAsia" w:eastAsia="黑体"/>
          <w:bCs/>
          <w:color w:val="auto"/>
          <w:kern w:val="0"/>
          <w:sz w:val="32"/>
          <w:szCs w:val="32"/>
          <w:highlight w:val="none"/>
        </w:rPr>
      </w:pPr>
      <w:r>
        <w:rPr>
          <w:rFonts w:hint="eastAsia" w:ascii="仿宋" w:hAnsi="仿宋" w:eastAsia="仿宋" w:cs="仿宋"/>
          <w:bCs/>
          <w:color w:val="auto"/>
          <w:kern w:val="0"/>
          <w:sz w:val="32"/>
          <w:szCs w:val="32"/>
          <w:highlight w:val="none"/>
        </w:rPr>
        <w:br w:type="page"/>
      </w:r>
      <w:r>
        <w:rPr>
          <w:rFonts w:hint="eastAsia" w:ascii="仿宋" w:hAnsi="仿宋" w:eastAsia="仿宋" w:cs="仿宋"/>
          <w:bCs/>
          <w:color w:val="auto"/>
          <w:kern w:val="0"/>
          <w:sz w:val="28"/>
          <w:szCs w:val="28"/>
          <w:highlight w:val="none"/>
        </w:rPr>
        <w:t>合同附件二</w:t>
      </w:r>
    </w:p>
    <w:tbl>
      <w:tblPr>
        <w:tblStyle w:val="14"/>
        <w:tblW w:w="9287" w:type="dxa"/>
        <w:tblInd w:w="0" w:type="dxa"/>
        <w:tblLayout w:type="fixed"/>
        <w:tblCellMar>
          <w:top w:w="0" w:type="dxa"/>
          <w:left w:w="108" w:type="dxa"/>
          <w:bottom w:w="0" w:type="dxa"/>
          <w:right w:w="108" w:type="dxa"/>
        </w:tblCellMar>
      </w:tblPr>
      <w:tblGrid>
        <w:gridCol w:w="834"/>
        <w:gridCol w:w="1918"/>
        <w:gridCol w:w="1138"/>
        <w:gridCol w:w="1144"/>
        <w:gridCol w:w="846"/>
        <w:gridCol w:w="1316"/>
        <w:gridCol w:w="2091"/>
      </w:tblGrid>
      <w:tr>
        <w:tblPrEx>
          <w:tblCellMar>
            <w:top w:w="0" w:type="dxa"/>
            <w:left w:w="108" w:type="dxa"/>
            <w:bottom w:w="0" w:type="dxa"/>
            <w:right w:w="108" w:type="dxa"/>
          </w:tblCellMar>
        </w:tblPrEx>
        <w:trPr>
          <w:trHeight w:val="660" w:hRule="atLeast"/>
        </w:trPr>
        <w:tc>
          <w:tcPr>
            <w:tcW w:w="9287" w:type="dxa"/>
            <w:gridSpan w:val="7"/>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tabs>
                <w:tab w:val="left" w:pos="2790"/>
              </w:tabs>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8"/>
                <w:szCs w:val="28"/>
                <w:highlight w:val="none"/>
              </w:rPr>
              <w:t>服务费用明细</w:t>
            </w:r>
          </w:p>
        </w:tc>
      </w:tr>
      <w:tr>
        <w:tblPrEx>
          <w:tblCellMar>
            <w:top w:w="0" w:type="dxa"/>
            <w:left w:w="108" w:type="dxa"/>
            <w:bottom w:w="0" w:type="dxa"/>
            <w:right w:w="108" w:type="dxa"/>
          </w:tblCellMar>
        </w:tblPrEx>
        <w:trPr>
          <w:trHeight w:val="660" w:hRule="atLeast"/>
        </w:trPr>
        <w:tc>
          <w:tcPr>
            <w:tcW w:w="834"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序号</w:t>
            </w:r>
          </w:p>
        </w:tc>
        <w:tc>
          <w:tcPr>
            <w:tcW w:w="19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项目名称</w:t>
            </w:r>
          </w:p>
        </w:tc>
        <w:tc>
          <w:tcPr>
            <w:tcW w:w="11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单价</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（元）</w:t>
            </w:r>
          </w:p>
        </w:tc>
        <w:tc>
          <w:tcPr>
            <w:tcW w:w="11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单位</w:t>
            </w:r>
          </w:p>
        </w:tc>
        <w:tc>
          <w:tcPr>
            <w:tcW w:w="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数量</w:t>
            </w: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年小计</w:t>
            </w:r>
          </w:p>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（万元）</w:t>
            </w: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b/>
                <w:bCs/>
                <w:color w:val="auto"/>
                <w:kern w:val="0"/>
                <w:sz w:val="24"/>
                <w:highlight w:val="none"/>
              </w:rPr>
            </w:pPr>
            <w:r>
              <w:rPr>
                <w:rFonts w:hint="eastAsia" w:ascii="仿宋" w:hAnsi="仿宋" w:eastAsia="仿宋" w:cs="仿宋"/>
                <w:b/>
                <w:bCs/>
                <w:color w:val="auto"/>
                <w:kern w:val="0"/>
                <w:sz w:val="24"/>
                <w:highlight w:val="none"/>
              </w:rPr>
              <w:t>备注</w:t>
            </w:r>
          </w:p>
        </w:tc>
      </w:tr>
      <w:tr>
        <w:tblPrEx>
          <w:tblCellMar>
            <w:top w:w="0" w:type="dxa"/>
            <w:left w:w="108" w:type="dxa"/>
            <w:bottom w:w="0" w:type="dxa"/>
            <w:right w:w="108" w:type="dxa"/>
          </w:tblCellMar>
        </w:tblPrEx>
        <w:trPr>
          <w:trHeight w:val="1380" w:hRule="atLeast"/>
        </w:trPr>
        <w:tc>
          <w:tcPr>
            <w:tcW w:w="834"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191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客服系统</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套/年</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1.为租用客服系统一年期费用，另行开发需另行付费；</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2.提供12个客服人员账号。</w:t>
            </w:r>
          </w:p>
        </w:tc>
      </w:tr>
      <w:tr>
        <w:tblPrEx>
          <w:tblCellMar>
            <w:top w:w="0" w:type="dxa"/>
            <w:left w:w="108" w:type="dxa"/>
            <w:bottom w:w="0" w:type="dxa"/>
            <w:right w:w="108" w:type="dxa"/>
          </w:tblCellMar>
        </w:tblPrEx>
        <w:trPr>
          <w:trHeight w:val="945" w:hRule="atLeast"/>
        </w:trPr>
        <w:tc>
          <w:tcPr>
            <w:tcW w:w="834"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1918" w:type="dxa"/>
            <w:vMerge w:val="restart"/>
            <w:tcBorders>
              <w:top w:val="single" w:color="auto" w:sz="4" w:space="0"/>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驻场人员</w:t>
            </w: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人/年</w:t>
            </w:r>
          </w:p>
        </w:tc>
        <w:tc>
          <w:tcPr>
            <w:tcW w:w="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中英双语客服，一年编制。</w:t>
            </w:r>
          </w:p>
        </w:tc>
      </w:tr>
      <w:tr>
        <w:tblPrEx>
          <w:tblCellMar>
            <w:top w:w="0" w:type="dxa"/>
            <w:left w:w="108" w:type="dxa"/>
            <w:bottom w:w="0" w:type="dxa"/>
            <w:right w:w="108" w:type="dxa"/>
          </w:tblCellMar>
        </w:tblPrEx>
        <w:trPr>
          <w:trHeight w:val="838" w:hRule="atLeast"/>
        </w:trPr>
        <w:tc>
          <w:tcPr>
            <w:tcW w:w="834"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vMerge w:val="continue"/>
            <w:tcBorders>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138"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人/月</w:t>
            </w:r>
          </w:p>
        </w:tc>
        <w:tc>
          <w:tcPr>
            <w:tcW w:w="84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中英双语客服，会期短期编制。</w:t>
            </w:r>
          </w:p>
        </w:tc>
      </w:tr>
      <w:tr>
        <w:tblPrEx>
          <w:tblCellMar>
            <w:top w:w="0" w:type="dxa"/>
            <w:left w:w="108" w:type="dxa"/>
            <w:bottom w:w="0" w:type="dxa"/>
            <w:right w:w="108" w:type="dxa"/>
          </w:tblCellMar>
        </w:tblPrEx>
        <w:trPr>
          <w:trHeight w:val="600" w:hRule="atLeast"/>
        </w:trPr>
        <w:tc>
          <w:tcPr>
            <w:tcW w:w="834"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918"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人/年</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普通话客服，</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一年编制</w:t>
            </w:r>
          </w:p>
        </w:tc>
      </w:tr>
      <w:tr>
        <w:tblPrEx>
          <w:tblCellMar>
            <w:top w:w="0" w:type="dxa"/>
            <w:left w:w="108" w:type="dxa"/>
            <w:bottom w:w="0" w:type="dxa"/>
            <w:right w:w="108" w:type="dxa"/>
          </w:tblCellMar>
        </w:tblPrEx>
        <w:trPr>
          <w:trHeight w:val="600" w:hRule="atLeast"/>
        </w:trPr>
        <w:tc>
          <w:tcPr>
            <w:tcW w:w="834"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918"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人/月</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普通话客服，</w:t>
            </w:r>
          </w:p>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会期短期编制。</w:t>
            </w:r>
          </w:p>
        </w:tc>
      </w:tr>
      <w:tr>
        <w:tblPrEx>
          <w:tblCellMar>
            <w:top w:w="0" w:type="dxa"/>
            <w:left w:w="108" w:type="dxa"/>
            <w:bottom w:w="0" w:type="dxa"/>
            <w:right w:w="108" w:type="dxa"/>
          </w:tblCellMar>
        </w:tblPrEx>
        <w:trPr>
          <w:trHeight w:val="600" w:hRule="atLeast"/>
        </w:trPr>
        <w:tc>
          <w:tcPr>
            <w:tcW w:w="834"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918" w:type="dxa"/>
            <w:vMerge w:val="continue"/>
            <w:tcBorders>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人/月</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 w:hAnsi="仿宋" w:eastAsia="仿宋" w:cs="仿宋"/>
                <w:color w:val="auto"/>
                <w:kern w:val="0"/>
                <w:sz w:val="24"/>
                <w:highlight w:val="none"/>
              </w:rPr>
            </w:pPr>
            <w:r>
              <w:rPr>
                <w:rFonts w:hint="eastAsia" w:ascii="仿宋" w:hAnsi="仿宋" w:eastAsia="仿宋" w:cs="仿宋"/>
                <w:color w:val="auto"/>
                <w:kern w:val="0"/>
                <w:sz w:val="24"/>
                <w:highlight w:val="none"/>
              </w:rPr>
              <w:t>高级客服主管</w:t>
            </w:r>
          </w:p>
        </w:tc>
      </w:tr>
      <w:tr>
        <w:tblPrEx>
          <w:tblCellMar>
            <w:top w:w="0" w:type="dxa"/>
            <w:left w:w="108" w:type="dxa"/>
            <w:bottom w:w="0" w:type="dxa"/>
            <w:right w:w="108" w:type="dxa"/>
          </w:tblCellMar>
        </w:tblPrEx>
        <w:trPr>
          <w:trHeight w:val="600" w:hRule="atLeast"/>
        </w:trPr>
        <w:tc>
          <w:tcPr>
            <w:tcW w:w="834" w:type="dxa"/>
            <w:vMerge w:val="restart"/>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w:t>
            </w:r>
          </w:p>
        </w:tc>
        <w:tc>
          <w:tcPr>
            <w:tcW w:w="191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通信费--语音中继</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元/月</w:t>
            </w: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一条2M语音中继，支持30路并发。</w:t>
            </w:r>
          </w:p>
        </w:tc>
      </w:tr>
      <w:tr>
        <w:tblPrEx>
          <w:tblCellMar>
            <w:top w:w="0" w:type="dxa"/>
            <w:left w:w="108" w:type="dxa"/>
            <w:bottom w:w="0" w:type="dxa"/>
            <w:right w:w="108" w:type="dxa"/>
          </w:tblCellMar>
        </w:tblPrEx>
        <w:trPr>
          <w:trHeight w:val="815"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通信费--语音接听</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电话接听免费</w:t>
            </w:r>
          </w:p>
        </w:tc>
      </w:tr>
      <w:tr>
        <w:tblPrEx>
          <w:tblCellMar>
            <w:top w:w="0" w:type="dxa"/>
            <w:left w:w="108" w:type="dxa"/>
            <w:bottom w:w="0" w:type="dxa"/>
            <w:right w:w="108" w:type="dxa"/>
          </w:tblCellMar>
        </w:tblPrEx>
        <w:trPr>
          <w:trHeight w:val="559"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tcBorders>
              <w:top w:val="nil"/>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通信费--语音拨打</w:t>
            </w:r>
          </w:p>
        </w:tc>
        <w:tc>
          <w:tcPr>
            <w:tcW w:w="1138"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1.按实际产生费用结算；</w:t>
            </w:r>
          </w:p>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2.甲方根据实际业务需求，可向乙方提出短期升级三倍通话时长的申请，即100元话费可以拨打300元话费的通话时长。</w:t>
            </w:r>
          </w:p>
        </w:tc>
      </w:tr>
      <w:tr>
        <w:tblPrEx>
          <w:tblCellMar>
            <w:top w:w="0" w:type="dxa"/>
            <w:left w:w="108" w:type="dxa"/>
            <w:bottom w:w="0" w:type="dxa"/>
            <w:right w:w="108" w:type="dxa"/>
          </w:tblCellMar>
        </w:tblPrEx>
        <w:trPr>
          <w:trHeight w:val="802" w:hRule="atLeast"/>
        </w:trPr>
        <w:tc>
          <w:tcPr>
            <w:tcW w:w="834"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4"/>
                <w:highlight w:val="none"/>
              </w:rPr>
            </w:pPr>
          </w:p>
        </w:tc>
        <w:tc>
          <w:tcPr>
            <w:tcW w:w="19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短信费</w:t>
            </w:r>
          </w:p>
        </w:tc>
        <w:tc>
          <w:tcPr>
            <w:tcW w:w="1138" w:type="dxa"/>
            <w:tcBorders>
              <w:top w:val="single" w:color="auto" w:sz="4" w:space="0"/>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144"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84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按实际产生费用结算，三网触达。</w:t>
            </w:r>
          </w:p>
        </w:tc>
      </w:tr>
      <w:tr>
        <w:tblPrEx>
          <w:tblCellMar>
            <w:top w:w="0" w:type="dxa"/>
            <w:left w:w="108" w:type="dxa"/>
            <w:bottom w:w="0" w:type="dxa"/>
            <w:right w:w="108" w:type="dxa"/>
          </w:tblCellMar>
        </w:tblPrEx>
        <w:trPr>
          <w:trHeight w:val="786" w:hRule="atLeast"/>
        </w:trPr>
        <w:tc>
          <w:tcPr>
            <w:tcW w:w="5880" w:type="dxa"/>
            <w:gridSpan w:val="5"/>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合计</w:t>
            </w:r>
          </w:p>
        </w:tc>
        <w:tc>
          <w:tcPr>
            <w:tcW w:w="1316" w:type="dxa"/>
            <w:tcBorders>
              <w:top w:val="nil"/>
              <w:left w:val="nil"/>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c>
          <w:tcPr>
            <w:tcW w:w="209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4"/>
                <w:highlight w:val="none"/>
              </w:rPr>
            </w:pPr>
          </w:p>
        </w:tc>
      </w:tr>
    </w:tbl>
    <w:p>
      <w:pPr>
        <w:adjustRightInd w:val="0"/>
        <w:snapToGrid w:val="0"/>
        <w:spacing w:line="560" w:lineRule="exact"/>
        <w:rPr>
          <w:rFonts w:hint="eastAsia" w:ascii="仿宋_GB2312" w:hAnsi="仿宋_GB2312" w:eastAsia="仿宋_GB2312" w:cs="仿宋_GB2312"/>
          <w:b/>
          <w:color w:val="auto"/>
          <w:sz w:val="28"/>
          <w:szCs w:val="28"/>
          <w:highlight w:val="none"/>
        </w:rPr>
      </w:pPr>
    </w:p>
    <w:p>
      <w:pPr>
        <w:pStyle w:val="12"/>
        <w:spacing w:line="520" w:lineRule="exact"/>
        <w:jc w:val="center"/>
        <w:rPr>
          <w:rFonts w:eastAsia="Times New Roman"/>
          <w:b/>
          <w:color w:val="auto"/>
          <w:sz w:val="32"/>
          <w:szCs w:val="32"/>
          <w:highlight w:val="none"/>
        </w:rPr>
      </w:pPr>
      <w:r>
        <w:rPr>
          <w:rFonts w:hint="eastAsia" w:ascii="宋体" w:hAnsi="宋体" w:cs="Angsana New"/>
          <w:bCs/>
          <w:color w:val="auto"/>
          <w:kern w:val="0"/>
          <w:sz w:val="32"/>
          <w:szCs w:val="32"/>
          <w:highlight w:val="none"/>
          <w:lang w:bidi="ar"/>
        </w:rPr>
        <w:br w:type="page"/>
      </w:r>
      <w:r>
        <w:rPr>
          <w:rFonts w:hint="eastAsia" w:ascii="宋体" w:hAnsi="宋体" w:cs="宋体"/>
          <w:b/>
          <w:color w:val="auto"/>
          <w:sz w:val="32"/>
          <w:szCs w:val="32"/>
          <w:highlight w:val="none"/>
        </w:rPr>
        <w:t>第</w:t>
      </w:r>
      <w:r>
        <w:rPr>
          <w:rFonts w:ascii="宋体" w:hAnsi="宋体" w:cs="宋体"/>
          <w:b/>
          <w:color w:val="auto"/>
          <w:sz w:val="32"/>
          <w:szCs w:val="32"/>
          <w:highlight w:val="none"/>
        </w:rPr>
        <w:t>六</w:t>
      </w:r>
      <w:r>
        <w:rPr>
          <w:rFonts w:hint="eastAsia" w:ascii="宋体" w:hAnsi="宋体" w:cs="宋体"/>
          <w:b/>
          <w:color w:val="auto"/>
          <w:sz w:val="32"/>
          <w:szCs w:val="32"/>
          <w:highlight w:val="none"/>
        </w:rPr>
        <w:t>章</w:t>
      </w:r>
      <w:r>
        <w:rPr>
          <w:rFonts w:eastAsia="Times New Roman"/>
          <w:b/>
          <w:color w:val="auto"/>
          <w:sz w:val="32"/>
          <w:szCs w:val="32"/>
          <w:highlight w:val="none"/>
        </w:rPr>
        <w:t xml:space="preserve"> </w:t>
      </w:r>
      <w:r>
        <w:rPr>
          <w:rFonts w:hint="eastAsia" w:ascii="宋体" w:hAnsi="宋体" w:cs="宋体"/>
          <w:b/>
          <w:color w:val="auto"/>
          <w:sz w:val="32"/>
          <w:szCs w:val="32"/>
          <w:highlight w:val="none"/>
        </w:rPr>
        <w:t>竞标响应文件格式</w:t>
      </w:r>
      <w:bookmarkEnd w:id="17"/>
    </w:p>
    <w:p>
      <w:pPr>
        <w:jc w:val="center"/>
        <w:rPr>
          <w:rFonts w:eastAsia="Times New Roman"/>
          <w:b/>
          <w:color w:val="auto"/>
          <w:sz w:val="28"/>
          <w:szCs w:val="28"/>
          <w:highlight w:val="none"/>
        </w:rPr>
      </w:pPr>
    </w:p>
    <w:p>
      <w:pPr>
        <w:jc w:val="center"/>
        <w:outlineLvl w:val="0"/>
        <w:rPr>
          <w:rFonts w:hint="eastAsia"/>
          <w:b/>
          <w:color w:val="auto"/>
          <w:sz w:val="28"/>
          <w:szCs w:val="28"/>
          <w:highlight w:val="none"/>
        </w:rPr>
      </w:pPr>
      <w:bookmarkStart w:id="18" w:name="_Toc15198"/>
      <w:r>
        <w:rPr>
          <w:rFonts w:hint="eastAsia"/>
          <w:b/>
          <w:color w:val="auto"/>
          <w:sz w:val="28"/>
          <w:szCs w:val="28"/>
          <w:highlight w:val="none"/>
        </w:rPr>
        <w:t>（封面）</w:t>
      </w:r>
      <w:bookmarkEnd w:id="18"/>
    </w:p>
    <w:p>
      <w:pPr>
        <w:pStyle w:val="31"/>
        <w:rPr>
          <w:color w:val="auto"/>
          <w:highlight w:val="none"/>
        </w:rPr>
      </w:pPr>
    </w:p>
    <w:p>
      <w:pPr>
        <w:jc w:val="center"/>
        <w:rPr>
          <w:rFonts w:eastAsia="Times New Roman"/>
          <w:color w:val="auto"/>
          <w:sz w:val="30"/>
          <w:szCs w:val="30"/>
          <w:highlight w:val="none"/>
        </w:rPr>
      </w:pPr>
      <w:r>
        <w:rPr>
          <w:rFonts w:eastAsia="Times New Roman"/>
          <w:color w:val="auto"/>
          <w:sz w:val="30"/>
          <w:szCs w:val="30"/>
          <w:highlight w:val="none"/>
        </w:rPr>
        <w:t xml:space="preserve">  </w:t>
      </w:r>
    </w:p>
    <w:p>
      <w:pPr>
        <w:jc w:val="center"/>
        <w:rPr>
          <w:rFonts w:eastAsia="Times New Roman"/>
          <w:color w:val="auto"/>
          <w:sz w:val="84"/>
          <w:szCs w:val="52"/>
          <w:highlight w:val="none"/>
        </w:rPr>
      </w:pPr>
    </w:p>
    <w:p>
      <w:pPr>
        <w:jc w:val="center"/>
        <w:outlineLvl w:val="0"/>
        <w:rPr>
          <w:rFonts w:eastAsia="方正小标宋简体"/>
          <w:b/>
          <w:color w:val="auto"/>
          <w:sz w:val="72"/>
          <w:szCs w:val="72"/>
          <w:highlight w:val="none"/>
        </w:rPr>
      </w:pPr>
      <w:bookmarkStart w:id="19" w:name="_Toc8678"/>
      <w:r>
        <w:rPr>
          <w:rFonts w:hint="eastAsia" w:eastAsia="方正小标宋简体"/>
          <w:b/>
          <w:color w:val="auto"/>
          <w:sz w:val="72"/>
          <w:szCs w:val="72"/>
          <w:highlight w:val="none"/>
        </w:rPr>
        <w:t>竞争性磋商响应文件</w:t>
      </w:r>
      <w:bookmarkEnd w:id="19"/>
    </w:p>
    <w:p>
      <w:pPr>
        <w:spacing w:line="440" w:lineRule="exact"/>
        <w:rPr>
          <w:rFonts w:eastAsia="Times New Roman"/>
          <w:color w:val="auto"/>
          <w:sz w:val="28"/>
          <w:szCs w:val="28"/>
          <w:highlight w:val="none"/>
          <w:u w:val="single"/>
        </w:rPr>
      </w:pPr>
    </w:p>
    <w:p>
      <w:pPr>
        <w:spacing w:line="440" w:lineRule="exact"/>
        <w:rPr>
          <w:rFonts w:eastAsia="Times New Roman"/>
          <w:color w:val="auto"/>
          <w:sz w:val="28"/>
          <w:szCs w:val="28"/>
          <w:highlight w:val="none"/>
          <w:u w:val="single"/>
        </w:rPr>
      </w:pPr>
    </w:p>
    <w:p>
      <w:pPr>
        <w:spacing w:line="440" w:lineRule="exact"/>
        <w:rPr>
          <w:rFonts w:eastAsia="Times New Roman"/>
          <w:color w:val="auto"/>
          <w:sz w:val="28"/>
          <w:szCs w:val="28"/>
          <w:highlight w:val="none"/>
          <w:u w:val="single"/>
        </w:rPr>
      </w:pPr>
    </w:p>
    <w:p>
      <w:pPr>
        <w:tabs>
          <w:tab w:val="left" w:pos="840"/>
        </w:tabs>
        <w:ind w:firstLine="1783" w:firstLineChars="637"/>
        <w:rPr>
          <w:rFonts w:eastAsia="Times New Roman"/>
          <w:color w:val="auto"/>
          <w:sz w:val="28"/>
          <w:szCs w:val="28"/>
          <w:highlight w:val="none"/>
        </w:rPr>
      </w:pPr>
    </w:p>
    <w:p>
      <w:pPr>
        <w:ind w:firstLine="1540" w:firstLineChars="550"/>
        <w:rPr>
          <w:rFonts w:eastAsia="Times New Roman"/>
          <w:color w:val="auto"/>
          <w:sz w:val="28"/>
          <w:szCs w:val="28"/>
          <w:highlight w:val="none"/>
          <w:u w:val="single"/>
        </w:rPr>
      </w:pPr>
      <w:r>
        <w:rPr>
          <w:rFonts w:hint="eastAsia"/>
          <w:color w:val="auto"/>
          <w:sz w:val="28"/>
          <w:szCs w:val="28"/>
          <w:highlight w:val="none"/>
        </w:rPr>
        <w:t>项</w:t>
      </w:r>
      <w:r>
        <w:rPr>
          <w:rFonts w:eastAsia="Times New Roman"/>
          <w:color w:val="auto"/>
          <w:sz w:val="28"/>
          <w:szCs w:val="28"/>
          <w:highlight w:val="none"/>
        </w:rPr>
        <w:t xml:space="preserve"> </w:t>
      </w:r>
      <w:r>
        <w:rPr>
          <w:rFonts w:hint="eastAsia"/>
          <w:color w:val="auto"/>
          <w:sz w:val="28"/>
          <w:szCs w:val="28"/>
          <w:highlight w:val="none"/>
        </w:rPr>
        <w:t>目</w:t>
      </w:r>
      <w:r>
        <w:rPr>
          <w:rFonts w:eastAsia="Times New Roman"/>
          <w:color w:val="auto"/>
          <w:sz w:val="28"/>
          <w:szCs w:val="28"/>
          <w:highlight w:val="none"/>
        </w:rPr>
        <w:t xml:space="preserve"> </w:t>
      </w:r>
      <w:r>
        <w:rPr>
          <w:rFonts w:hint="eastAsia"/>
          <w:color w:val="auto"/>
          <w:sz w:val="28"/>
          <w:szCs w:val="28"/>
          <w:highlight w:val="none"/>
        </w:rPr>
        <w:t>名</w:t>
      </w:r>
      <w:r>
        <w:rPr>
          <w:rFonts w:eastAsia="Times New Roman"/>
          <w:color w:val="auto"/>
          <w:sz w:val="28"/>
          <w:szCs w:val="28"/>
          <w:highlight w:val="none"/>
        </w:rPr>
        <w:t xml:space="preserve"> </w:t>
      </w:r>
      <w:r>
        <w:rPr>
          <w:rFonts w:hint="eastAsia"/>
          <w:color w:val="auto"/>
          <w:sz w:val="28"/>
          <w:szCs w:val="28"/>
          <w:highlight w:val="none"/>
        </w:rPr>
        <w:t>称：</w:t>
      </w:r>
      <w:r>
        <w:rPr>
          <w:rFonts w:eastAsia="Times New Roman"/>
          <w:color w:val="auto"/>
          <w:sz w:val="28"/>
          <w:szCs w:val="28"/>
          <w:highlight w:val="none"/>
          <w:u w:val="single"/>
        </w:rPr>
        <w:t xml:space="preserve">                           </w:t>
      </w:r>
    </w:p>
    <w:p>
      <w:pPr>
        <w:pStyle w:val="31"/>
        <w:rPr>
          <w:color w:val="auto"/>
          <w:highlight w:val="none"/>
        </w:rPr>
      </w:pPr>
    </w:p>
    <w:p>
      <w:pPr>
        <w:rPr>
          <w:rFonts w:eastAsia="Times New Roman"/>
          <w:color w:val="auto"/>
          <w:sz w:val="28"/>
          <w:szCs w:val="28"/>
          <w:highlight w:val="none"/>
          <w:u w:val="singl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投</w:t>
      </w:r>
      <w:r>
        <w:rPr>
          <w:rFonts w:eastAsia="Times New Roman"/>
          <w:color w:val="auto"/>
          <w:sz w:val="28"/>
          <w:szCs w:val="28"/>
          <w:highlight w:val="none"/>
        </w:rPr>
        <w:t xml:space="preserve"> </w:t>
      </w:r>
      <w:r>
        <w:rPr>
          <w:rFonts w:hint="eastAsia"/>
          <w:color w:val="auto"/>
          <w:sz w:val="28"/>
          <w:szCs w:val="28"/>
          <w:highlight w:val="none"/>
        </w:rPr>
        <w:t>标</w:t>
      </w:r>
      <w:r>
        <w:rPr>
          <w:rFonts w:eastAsia="Times New Roman"/>
          <w:color w:val="auto"/>
          <w:sz w:val="28"/>
          <w:szCs w:val="28"/>
          <w:highlight w:val="none"/>
        </w:rPr>
        <w:t xml:space="preserve"> </w:t>
      </w:r>
      <w:r>
        <w:rPr>
          <w:rFonts w:hint="eastAsia"/>
          <w:color w:val="auto"/>
          <w:sz w:val="28"/>
          <w:szCs w:val="28"/>
          <w:highlight w:val="none"/>
        </w:rPr>
        <w:t>单</w:t>
      </w:r>
      <w:r>
        <w:rPr>
          <w:rFonts w:eastAsia="Times New Roman"/>
          <w:color w:val="auto"/>
          <w:sz w:val="28"/>
          <w:szCs w:val="28"/>
          <w:highlight w:val="none"/>
        </w:rPr>
        <w:t xml:space="preserve"> </w:t>
      </w:r>
      <w:r>
        <w:rPr>
          <w:rFonts w:hint="eastAsia"/>
          <w:color w:val="auto"/>
          <w:sz w:val="28"/>
          <w:szCs w:val="28"/>
          <w:highlight w:val="none"/>
        </w:rPr>
        <w:t>位：</w:t>
      </w:r>
      <w:r>
        <w:rPr>
          <w:rFonts w:eastAsia="Times New Roman"/>
          <w:color w:val="auto"/>
          <w:sz w:val="28"/>
          <w:szCs w:val="28"/>
          <w:highlight w:val="none"/>
          <w:u w:val="single"/>
        </w:rPr>
        <w:t xml:space="preserve">                      </w:t>
      </w:r>
      <w:r>
        <w:rPr>
          <w:rFonts w:hint="eastAsia"/>
          <w:color w:val="auto"/>
          <w:sz w:val="28"/>
          <w:szCs w:val="28"/>
          <w:highlight w:val="none"/>
          <w:u w:val="single"/>
        </w:rPr>
        <w:t>（盖章）</w:t>
      </w:r>
      <w:r>
        <w:rPr>
          <w:rFonts w:eastAsia="Times New Roman"/>
          <w:color w:val="auto"/>
          <w:sz w:val="28"/>
          <w:szCs w:val="28"/>
          <w:highlight w:val="none"/>
          <w:u w:val="single"/>
        </w:rPr>
        <w:t xml:space="preserve">   </w:t>
      </w:r>
    </w:p>
    <w:p>
      <w:pPr>
        <w:pStyle w:val="31"/>
        <w:rPr>
          <w:color w:val="auto"/>
          <w:highlight w:val="none"/>
        </w:rPr>
      </w:pPr>
    </w:p>
    <w:p>
      <w:pPr>
        <w:rPr>
          <w:rFonts w:hint="eastAsia"/>
          <w:color w:val="auto"/>
          <w:sz w:val="28"/>
          <w:szCs w:val="28"/>
          <w:highlight w:val="none"/>
          <w:u w:val="singl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法定代表人（负责人）或其委托代理人：</w:t>
      </w:r>
      <w:r>
        <w:rPr>
          <w:rFonts w:eastAsia="Times New Roman"/>
          <w:color w:val="auto"/>
          <w:sz w:val="28"/>
          <w:szCs w:val="28"/>
          <w:highlight w:val="none"/>
          <w:u w:val="single"/>
        </w:rPr>
        <w:t xml:space="preserve">     </w:t>
      </w:r>
      <w:r>
        <w:rPr>
          <w:rFonts w:hint="eastAsia"/>
          <w:color w:val="auto"/>
          <w:sz w:val="28"/>
          <w:szCs w:val="28"/>
          <w:highlight w:val="none"/>
          <w:u w:val="single"/>
        </w:rPr>
        <w:t>（</w:t>
      </w:r>
      <w:r>
        <w:rPr>
          <w:rFonts w:eastAsia="Times New Roman"/>
          <w:color w:val="auto"/>
          <w:sz w:val="28"/>
          <w:szCs w:val="28"/>
          <w:highlight w:val="none"/>
          <w:u w:val="single"/>
        </w:rPr>
        <w:t xml:space="preserve"> </w:t>
      </w:r>
      <w:r>
        <w:rPr>
          <w:rFonts w:hint="eastAsia"/>
          <w:color w:val="auto"/>
          <w:sz w:val="28"/>
          <w:szCs w:val="28"/>
          <w:highlight w:val="none"/>
          <w:u w:val="single"/>
        </w:rPr>
        <w:t>签字或盖章）</w:t>
      </w:r>
    </w:p>
    <w:p>
      <w:pPr>
        <w:pStyle w:val="31"/>
        <w:rPr>
          <w:color w:val="auto"/>
          <w:highlight w:val="none"/>
        </w:rPr>
      </w:pPr>
    </w:p>
    <w:p>
      <w:pPr>
        <w:rPr>
          <w:rFonts w:eastAsia="Times New Roman"/>
          <w:color w:val="auto"/>
          <w:sz w:val="28"/>
          <w:szCs w:val="28"/>
          <w:highlight w:val="none"/>
        </w:rPr>
      </w:pPr>
      <w:r>
        <w:rPr>
          <w:rFonts w:eastAsia="Times New Roman"/>
          <w:color w:val="auto"/>
          <w:sz w:val="28"/>
          <w:szCs w:val="28"/>
          <w:highlight w:val="none"/>
        </w:rPr>
        <w:t xml:space="preserve">         </w:t>
      </w:r>
      <w:r>
        <w:rPr>
          <w:color w:val="auto"/>
          <w:sz w:val="28"/>
          <w:szCs w:val="28"/>
          <w:highlight w:val="none"/>
        </w:rPr>
        <w:t xml:space="preserve">  </w:t>
      </w:r>
      <w:r>
        <w:rPr>
          <w:rFonts w:hint="eastAsia"/>
          <w:color w:val="auto"/>
          <w:sz w:val="28"/>
          <w:szCs w:val="28"/>
          <w:highlight w:val="none"/>
        </w:rPr>
        <w:t>日</w:t>
      </w:r>
      <w:bookmarkStart w:id="20" w:name="_Toc274756332"/>
      <w:bookmarkStart w:id="21" w:name="_Toc264731469"/>
      <w:bookmarkStart w:id="22" w:name="_Toc265137408"/>
      <w:bookmarkStart w:id="23" w:name="_Toc265138140"/>
      <w:bookmarkStart w:id="24" w:name="_Toc264882251"/>
      <w:bookmarkStart w:id="25" w:name="_Toc265137628"/>
      <w:r>
        <w:rPr>
          <w:rFonts w:eastAsia="Times New Roman"/>
          <w:color w:val="auto"/>
          <w:sz w:val="28"/>
          <w:szCs w:val="28"/>
          <w:highlight w:val="none"/>
        </w:rPr>
        <w:t xml:space="preserve">   </w:t>
      </w:r>
      <w:r>
        <w:rPr>
          <w:rFonts w:hint="eastAsia"/>
          <w:color w:val="auto"/>
          <w:sz w:val="28"/>
          <w:szCs w:val="28"/>
          <w:highlight w:val="none"/>
        </w:rPr>
        <w:t>期</w:t>
      </w:r>
      <w:r>
        <w:rPr>
          <w:rFonts w:eastAsia="Times New Roman"/>
          <w:color w:val="auto"/>
          <w:sz w:val="28"/>
          <w:szCs w:val="28"/>
          <w:highlight w:val="none"/>
        </w:rPr>
        <w:t xml:space="preserve">  </w:t>
      </w:r>
      <w:r>
        <w:rPr>
          <w:rFonts w:hint="eastAsia"/>
          <w:color w:val="auto"/>
          <w:sz w:val="28"/>
          <w:szCs w:val="28"/>
          <w:highlight w:val="none"/>
        </w:rPr>
        <w:t>：</w:t>
      </w:r>
      <w:r>
        <w:rPr>
          <w:rFonts w:eastAsia="Times New Roman"/>
          <w:color w:val="auto"/>
          <w:sz w:val="28"/>
          <w:szCs w:val="28"/>
          <w:highlight w:val="none"/>
          <w:u w:val="single"/>
        </w:rPr>
        <w:t xml:space="preserve">         </w:t>
      </w:r>
      <w:r>
        <w:rPr>
          <w:rFonts w:hint="eastAsia"/>
          <w:color w:val="auto"/>
          <w:sz w:val="28"/>
          <w:szCs w:val="28"/>
          <w:highlight w:val="none"/>
        </w:rPr>
        <w:t>年</w:t>
      </w:r>
      <w:r>
        <w:rPr>
          <w:rFonts w:eastAsia="Times New Roman"/>
          <w:color w:val="auto"/>
          <w:sz w:val="28"/>
          <w:szCs w:val="28"/>
          <w:highlight w:val="none"/>
          <w:u w:val="single"/>
        </w:rPr>
        <w:t xml:space="preserve">   </w:t>
      </w:r>
      <w:bookmarkEnd w:id="20"/>
      <w:bookmarkEnd w:id="21"/>
      <w:bookmarkEnd w:id="22"/>
      <w:bookmarkEnd w:id="23"/>
      <w:bookmarkEnd w:id="24"/>
      <w:bookmarkEnd w:id="25"/>
      <w:r>
        <w:rPr>
          <w:rFonts w:eastAsia="Times New Roman"/>
          <w:color w:val="auto"/>
          <w:sz w:val="28"/>
          <w:szCs w:val="28"/>
          <w:highlight w:val="none"/>
          <w:u w:val="single"/>
        </w:rPr>
        <w:t xml:space="preserve">    </w:t>
      </w:r>
      <w:r>
        <w:rPr>
          <w:rFonts w:hint="eastAsia"/>
          <w:color w:val="auto"/>
          <w:sz w:val="28"/>
          <w:szCs w:val="28"/>
          <w:highlight w:val="none"/>
        </w:rPr>
        <w:t>月</w:t>
      </w:r>
      <w:r>
        <w:rPr>
          <w:rFonts w:eastAsia="Times New Roman"/>
          <w:color w:val="auto"/>
          <w:sz w:val="28"/>
          <w:szCs w:val="28"/>
          <w:highlight w:val="none"/>
          <w:u w:val="single"/>
        </w:rPr>
        <w:t xml:space="preserve">       </w:t>
      </w:r>
      <w:r>
        <w:rPr>
          <w:rFonts w:hint="eastAsia"/>
          <w:color w:val="auto"/>
          <w:sz w:val="28"/>
          <w:szCs w:val="28"/>
          <w:highlight w:val="none"/>
        </w:rPr>
        <w:t>日</w:t>
      </w: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spacing w:line="320" w:lineRule="exact"/>
        <w:rPr>
          <w:b/>
          <w:color w:val="auto"/>
          <w:szCs w:val="21"/>
          <w:highlight w:val="none"/>
        </w:rPr>
      </w:pPr>
    </w:p>
    <w:p>
      <w:pPr>
        <w:rPr>
          <w:rFonts w:hint="eastAsia" w:ascii="宋体" w:hAnsi="宋体" w:cs="宋体"/>
          <w:b/>
          <w:bCs/>
          <w:color w:val="auto"/>
          <w:sz w:val="32"/>
          <w:szCs w:val="32"/>
          <w:highlight w:val="none"/>
        </w:rPr>
        <w:sectPr>
          <w:footerReference r:id="rId13" w:type="default"/>
          <w:pgSz w:w="11906" w:h="16838"/>
          <w:pgMar w:top="1418" w:right="1418" w:bottom="1418" w:left="1418" w:header="851" w:footer="992" w:gutter="0"/>
          <w:pgNumType w:start="23"/>
          <w:cols w:space="720" w:num="1"/>
          <w:docGrid w:type="lines" w:linePitch="312" w:charSpace="0"/>
        </w:sectPr>
      </w:pPr>
      <w:bookmarkStart w:id="26" w:name="_Toc12275"/>
    </w:p>
    <w:p>
      <w:pPr>
        <w:pStyle w:val="11"/>
        <w:ind w:firstLine="241"/>
        <w:rPr>
          <w:rFonts w:hint="eastAsia"/>
          <w:color w:val="auto"/>
          <w:highlight w:val="none"/>
        </w:rPr>
      </w:pPr>
    </w:p>
    <w:p>
      <w:pPr>
        <w:pStyle w:val="11"/>
        <w:ind w:firstLine="321"/>
        <w:rPr>
          <w:rFonts w:hint="eastAsia" w:cs="宋体"/>
          <w:color w:val="auto"/>
          <w:sz w:val="32"/>
          <w:szCs w:val="32"/>
          <w:highlight w:val="none"/>
        </w:rPr>
      </w:pPr>
    </w:p>
    <w:p>
      <w:pPr>
        <w:rPr>
          <w:rFonts w:hint="eastAsia" w:ascii="宋体" w:hAnsi="宋体" w:cs="宋体"/>
          <w:b/>
          <w:bCs/>
          <w:color w:val="auto"/>
          <w:sz w:val="32"/>
          <w:szCs w:val="32"/>
          <w:highlight w:val="none"/>
        </w:rPr>
      </w:pPr>
    </w:p>
    <w:p>
      <w:pPr>
        <w:pStyle w:val="11"/>
        <w:ind w:firstLine="321"/>
        <w:rPr>
          <w:rFonts w:hint="eastAsia" w:cs="宋体"/>
          <w:color w:val="auto"/>
          <w:sz w:val="32"/>
          <w:szCs w:val="32"/>
          <w:highlight w:val="none"/>
        </w:rPr>
      </w:pPr>
    </w:p>
    <w:p>
      <w:pPr>
        <w:rPr>
          <w:rFonts w:hint="eastAsia" w:ascii="宋体" w:hAnsi="宋体" w:cs="宋体"/>
          <w:b/>
          <w:bCs/>
          <w:color w:val="auto"/>
          <w:sz w:val="32"/>
          <w:szCs w:val="32"/>
          <w:highlight w:val="none"/>
        </w:rPr>
      </w:pPr>
    </w:p>
    <w:p>
      <w:pPr>
        <w:pStyle w:val="11"/>
        <w:ind w:firstLine="0" w:firstLineChars="0"/>
        <w:rPr>
          <w:rFonts w:hint="eastAsia"/>
          <w:color w:val="auto"/>
          <w:highlight w:val="none"/>
        </w:rPr>
      </w:pPr>
    </w:p>
    <w:p>
      <w:pPr>
        <w:rPr>
          <w:rFonts w:hint="eastAsia"/>
          <w:color w:val="auto"/>
          <w:highlight w:val="none"/>
        </w:rPr>
      </w:pPr>
    </w:p>
    <w:p>
      <w:pPr>
        <w:numPr>
          <w:ilvl w:val="0"/>
          <w:numId w:val="2"/>
        </w:numPr>
        <w:jc w:val="cente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商务文件格式</w:t>
      </w: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pPr>
    </w:p>
    <w:p>
      <w:pPr>
        <w:pStyle w:val="31"/>
        <w:rPr>
          <w:rFonts w:hint="eastAsia"/>
          <w:color w:val="auto"/>
          <w:highlight w:val="none"/>
        </w:rPr>
        <w:sectPr>
          <w:footerReference r:id="rId14" w:type="default"/>
          <w:pgSz w:w="11906" w:h="16838"/>
          <w:pgMar w:top="1418" w:right="1418" w:bottom="1418" w:left="1418" w:header="851" w:footer="992" w:gutter="0"/>
          <w:pgNumType w:start="24"/>
          <w:cols w:space="720" w:num="1"/>
          <w:docGrid w:type="lines" w:linePitch="312" w:charSpace="0"/>
        </w:sectPr>
      </w:pPr>
    </w:p>
    <w:p>
      <w:pPr>
        <w:outlineLvl w:val="0"/>
        <w:rPr>
          <w:rFonts w:hint="eastAsia" w:cs="Angsana New"/>
          <w:b/>
          <w:color w:val="auto"/>
          <w:kern w:val="0"/>
          <w:sz w:val="30"/>
          <w:szCs w:val="30"/>
          <w:highlight w:val="none"/>
          <w:lang w:bidi="ar"/>
        </w:rPr>
      </w:pPr>
      <w:r>
        <w:rPr>
          <w:rFonts w:hint="eastAsia" w:cs="Angsana New"/>
          <w:b/>
          <w:color w:val="auto"/>
          <w:kern w:val="0"/>
          <w:sz w:val="30"/>
          <w:szCs w:val="30"/>
          <w:highlight w:val="none"/>
          <w:lang w:bidi="ar"/>
        </w:rPr>
        <w:t>附件1</w:t>
      </w:r>
      <w:bookmarkEnd w:id="26"/>
      <w:r>
        <w:rPr>
          <w:rFonts w:hint="eastAsia" w:cs="Angsana New"/>
          <w:b/>
          <w:color w:val="auto"/>
          <w:kern w:val="0"/>
          <w:sz w:val="30"/>
          <w:szCs w:val="30"/>
          <w:highlight w:val="none"/>
          <w:lang w:bidi="ar"/>
        </w:rPr>
        <w:t xml:space="preserve"> </w:t>
      </w:r>
    </w:p>
    <w:p>
      <w:pPr>
        <w:jc w:val="center"/>
        <w:rPr>
          <w:rFonts w:ascii="华文中宋" w:hAnsi="华文中宋" w:eastAsia="华文中宋" w:cs="华文中宋"/>
          <w:b/>
          <w:color w:val="auto"/>
          <w:sz w:val="44"/>
          <w:szCs w:val="44"/>
          <w:highlight w:val="none"/>
        </w:rPr>
      </w:pPr>
      <w:r>
        <w:rPr>
          <w:rFonts w:hint="eastAsia" w:ascii="华文中宋" w:hAnsi="华文中宋" w:eastAsia="华文中宋" w:cs="华文中宋"/>
          <w:b/>
          <w:color w:val="auto"/>
          <w:sz w:val="44"/>
          <w:szCs w:val="44"/>
          <w:highlight w:val="none"/>
        </w:rPr>
        <w:t>磋商</w:t>
      </w:r>
      <w:r>
        <w:rPr>
          <w:rFonts w:ascii="华文中宋" w:hAnsi="华文中宋" w:eastAsia="华文中宋" w:cs="华文中宋"/>
          <w:b/>
          <w:color w:val="auto"/>
          <w:sz w:val="44"/>
          <w:szCs w:val="44"/>
          <w:highlight w:val="none"/>
        </w:rPr>
        <w:t>函格式</w:t>
      </w:r>
    </w:p>
    <w:p>
      <w:pPr>
        <w:pStyle w:val="31"/>
        <w:rPr>
          <w:rFonts w:hint="eastAsia"/>
          <w:color w:val="auto"/>
          <w:highlight w:val="none"/>
        </w:rPr>
      </w:pPr>
    </w:p>
    <w:p>
      <w:pPr>
        <w:pStyle w:val="7"/>
        <w:spacing w:line="600" w:lineRule="exac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u w:val="single"/>
        </w:rPr>
        <w:t>广西南博国际信息有限公司</w:t>
      </w:r>
      <w:r>
        <w:rPr>
          <w:rFonts w:ascii="Times New Roman" w:hAnsi="Times New Roman" w:eastAsia="仿宋_GB2312"/>
          <w:color w:val="auto"/>
          <w:sz w:val="28"/>
          <w:szCs w:val="28"/>
          <w:highlight w:val="none"/>
        </w:rPr>
        <w:t>：</w:t>
      </w:r>
    </w:p>
    <w:p>
      <w:pPr>
        <w:pStyle w:val="7"/>
        <w:spacing w:line="600" w:lineRule="exact"/>
        <w:rPr>
          <w:rFonts w:ascii="Times New Roman" w:hAnsi="Times New Roman" w:eastAsia="仿宋_GB2312"/>
          <w:color w:val="auto"/>
          <w:sz w:val="28"/>
          <w:szCs w:val="28"/>
          <w:highlight w:val="none"/>
        </w:rPr>
      </w:pP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依据贵方</w:t>
      </w:r>
      <w:r>
        <w:rPr>
          <w:rFonts w:ascii="Times New Roman" w:hAnsi="Times New Roman" w:eastAsia="仿宋_GB2312"/>
          <w:color w:val="auto"/>
          <w:sz w:val="28"/>
          <w:szCs w:val="28"/>
          <w:highlight w:val="none"/>
          <w:u w:val="single"/>
        </w:rPr>
        <w:t xml:space="preserve">             </w:t>
      </w:r>
      <w:r>
        <w:rPr>
          <w:rFonts w:hint="eastAsia" w:ascii="Times New Roman" w:hAnsi="Times New Roman" w:eastAsia="仿宋_GB2312"/>
          <w:color w:val="auto"/>
          <w:sz w:val="28"/>
          <w:szCs w:val="28"/>
          <w:highlight w:val="none"/>
          <w:u w:val="single"/>
        </w:rPr>
        <w:t>项目</w:t>
      </w:r>
      <w:r>
        <w:rPr>
          <w:rFonts w:ascii="Times New Roman" w:hAnsi="Times New Roman" w:eastAsia="仿宋_GB2312"/>
          <w:color w:val="auto"/>
          <w:sz w:val="28"/>
          <w:szCs w:val="28"/>
          <w:highlight w:val="none"/>
        </w:rPr>
        <w:t>的磋商邀请，我方</w:t>
      </w:r>
      <w:r>
        <w:rPr>
          <w:rFonts w:ascii="Times New Roman" w:hAnsi="Times New Roman" w:eastAsia="仿宋_GB2312"/>
          <w:color w:val="auto"/>
          <w:sz w:val="28"/>
          <w:szCs w:val="28"/>
          <w:highlight w:val="none"/>
          <w:u w:val="single"/>
        </w:rPr>
        <w:t>（姓名和职务）</w:t>
      </w:r>
      <w:r>
        <w:rPr>
          <w:rFonts w:ascii="Times New Roman" w:hAnsi="Times New Roman" w:eastAsia="仿宋_GB2312"/>
          <w:color w:val="auto"/>
          <w:sz w:val="28"/>
          <w:szCs w:val="28"/>
          <w:highlight w:val="none"/>
        </w:rPr>
        <w:t>经正式授权并代表磋商供应商</w:t>
      </w:r>
      <w:r>
        <w:rPr>
          <w:rFonts w:ascii="Times New Roman" w:hAnsi="Times New Roman" w:eastAsia="仿宋_GB2312"/>
          <w:color w:val="auto"/>
          <w:sz w:val="28"/>
          <w:szCs w:val="28"/>
          <w:highlight w:val="none"/>
          <w:u w:val="single"/>
        </w:rPr>
        <w:t>（磋商供应商名称、地址）</w:t>
      </w:r>
      <w:r>
        <w:rPr>
          <w:rFonts w:ascii="Times New Roman" w:hAnsi="Times New Roman" w:eastAsia="仿宋_GB2312"/>
          <w:color w:val="auto"/>
          <w:sz w:val="28"/>
          <w:szCs w:val="28"/>
          <w:highlight w:val="none"/>
        </w:rPr>
        <w:t>提交下述竞争性磋商响应文件正本1份；副本2份。</w:t>
      </w: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竞争性磋商响应文件</w:t>
      </w:r>
      <w:r>
        <w:rPr>
          <w:rFonts w:hint="eastAsia" w:ascii="Times New Roman" w:hAnsi="Times New Roman" w:eastAsia="仿宋_GB2312"/>
          <w:color w:val="auto"/>
          <w:sz w:val="28"/>
          <w:szCs w:val="28"/>
          <w:highlight w:val="none"/>
        </w:rPr>
        <w:t>包含：</w:t>
      </w: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1. </w:t>
      </w:r>
      <w:r>
        <w:rPr>
          <w:rFonts w:hint="eastAsia" w:ascii="Times New Roman" w:hAnsi="Times New Roman" w:eastAsia="仿宋_GB2312"/>
          <w:color w:val="auto"/>
          <w:sz w:val="28"/>
          <w:szCs w:val="28"/>
          <w:highlight w:val="none"/>
        </w:rPr>
        <w:t>商务文件及</w:t>
      </w:r>
      <w:r>
        <w:rPr>
          <w:rFonts w:ascii="Times New Roman" w:hAnsi="Times New Roman" w:eastAsia="仿宋_GB2312"/>
          <w:color w:val="auto"/>
          <w:sz w:val="28"/>
          <w:szCs w:val="28"/>
          <w:highlight w:val="none"/>
        </w:rPr>
        <w:t>资格证明文件；</w:t>
      </w:r>
    </w:p>
    <w:p>
      <w:pPr>
        <w:pStyle w:val="7"/>
        <w:spacing w:line="600" w:lineRule="exact"/>
        <w:ind w:firstLine="480"/>
        <w:rPr>
          <w:rFonts w:hint="eastAsia"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 xml:space="preserve">2. </w:t>
      </w:r>
      <w:r>
        <w:rPr>
          <w:rFonts w:hint="eastAsia" w:ascii="Times New Roman" w:hAnsi="Times New Roman" w:eastAsia="仿宋_GB2312"/>
          <w:color w:val="auto"/>
          <w:sz w:val="28"/>
          <w:szCs w:val="28"/>
          <w:highlight w:val="none"/>
        </w:rPr>
        <w:t>技术文件；</w:t>
      </w:r>
    </w:p>
    <w:p>
      <w:pPr>
        <w:pStyle w:val="7"/>
        <w:spacing w:line="600" w:lineRule="exact"/>
        <w:ind w:firstLine="700" w:firstLineChars="25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在此，授权代表宣布同意如下：</w:t>
      </w:r>
    </w:p>
    <w:p>
      <w:pPr>
        <w:pStyle w:val="7"/>
        <w:spacing w:line="600" w:lineRule="exact"/>
        <w:ind w:firstLine="48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1. 将按竞争性磋商文件的约定履行合同责任和义务；</w:t>
      </w:r>
    </w:p>
    <w:p>
      <w:pPr>
        <w:pStyle w:val="7"/>
        <w:spacing w:line="600" w:lineRule="exact"/>
        <w:ind w:left="840" w:hanging="360"/>
        <w:jc w:val="left"/>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2. 已详细审查全部竞争性磋商文件；我们完全理解并同意放弃对这方面有不明及误解的权力；</w:t>
      </w:r>
    </w:p>
    <w:p>
      <w:pPr>
        <w:pStyle w:val="7"/>
        <w:spacing w:line="600" w:lineRule="exact"/>
        <w:ind w:left="840" w:hanging="36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3. 同意提供按照贵方可能要求的与本次项目磋商有关的一切数据或资料；</w:t>
      </w:r>
    </w:p>
    <w:p>
      <w:pPr>
        <w:pStyle w:val="7"/>
        <w:spacing w:line="600" w:lineRule="exact"/>
        <w:ind w:firstLine="480"/>
        <w:rPr>
          <w:rFonts w:ascii="Times New Roman" w:hAnsi="Times New Roman" w:eastAsia="仿宋_GB2312"/>
          <w:color w:val="auto"/>
          <w:sz w:val="28"/>
          <w:szCs w:val="28"/>
          <w:highlight w:val="none"/>
          <w:u w:val="single"/>
        </w:rPr>
      </w:pPr>
      <w:r>
        <w:rPr>
          <w:rFonts w:ascii="Times New Roman" w:hAnsi="Times New Roman" w:eastAsia="仿宋_GB2312"/>
          <w:color w:val="auto"/>
          <w:sz w:val="28"/>
          <w:szCs w:val="28"/>
          <w:highlight w:val="none"/>
        </w:rPr>
        <w:t>4. 与本磋商有关的一切正式往来信函请寄：</w:t>
      </w:r>
      <w:r>
        <w:rPr>
          <w:rFonts w:ascii="Times New Roman" w:hAnsi="Times New Roman" w:eastAsia="仿宋_GB2312"/>
          <w:color w:val="auto"/>
          <w:sz w:val="28"/>
          <w:szCs w:val="28"/>
          <w:highlight w:val="none"/>
          <w:u w:val="singl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电话/传真：</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电子函件：</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日期：</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年</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月</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日</w:t>
      </w:r>
    </w:p>
    <w:p>
      <w:pPr>
        <w:pStyle w:val="7"/>
        <w:spacing w:line="600" w:lineRule="exact"/>
        <w:ind w:firstLine="840"/>
        <w:rPr>
          <w:rFonts w:ascii="Times New Roman" w:hAnsi="Times New Roman" w:eastAsia="仿宋_GB2312"/>
          <w:color w:val="auto"/>
          <w:sz w:val="28"/>
          <w:szCs w:val="28"/>
          <w:highlight w:val="none"/>
        </w:rPr>
      </w:pPr>
    </w:p>
    <w:p>
      <w:pPr>
        <w:pStyle w:val="7"/>
        <w:spacing w:line="600" w:lineRule="exact"/>
        <w:ind w:firstLine="840"/>
        <w:rPr>
          <w:rFonts w:ascii="Times New Roman" w:hAnsi="Times New Roman" w:eastAsia="仿宋_GB2312"/>
          <w:color w:val="auto"/>
          <w:sz w:val="28"/>
          <w:szCs w:val="28"/>
          <w:highlight w:val="none"/>
        </w:rPr>
      </w:pPr>
    </w:p>
    <w:p>
      <w:pPr>
        <w:pStyle w:val="7"/>
        <w:spacing w:line="600" w:lineRule="exact"/>
        <w:ind w:firstLine="840"/>
        <w:rPr>
          <w:rFonts w:ascii="Times New Roman" w:hAnsi="Times New Roman" w:eastAsia="仿宋_GB2312"/>
          <w:color w:val="auto"/>
          <w:sz w:val="28"/>
          <w:szCs w:val="28"/>
          <w:highlight w:val="none"/>
          <w:u w:val="single"/>
        </w:rPr>
      </w:pPr>
      <w:r>
        <w:rPr>
          <w:rFonts w:ascii="Times New Roman" w:hAnsi="Times New Roman" w:eastAsia="仿宋_GB2312"/>
          <w:color w:val="auto"/>
          <w:sz w:val="28"/>
          <w:szCs w:val="28"/>
          <w:highlight w:val="none"/>
        </w:rPr>
        <w:t>法定代表人</w:t>
      </w:r>
      <w:r>
        <w:rPr>
          <w:rFonts w:hint="eastAsia" w:ascii="Times New Roman" w:hAnsi="Times New Roman" w:eastAsia="仿宋_GB2312"/>
          <w:color w:val="auto"/>
          <w:sz w:val="28"/>
          <w:szCs w:val="28"/>
          <w:highlight w:val="none"/>
        </w:rPr>
        <w:t>（负责人）或</w:t>
      </w:r>
      <w:r>
        <w:rPr>
          <w:rFonts w:ascii="Times New Roman" w:hAnsi="Times New Roman" w:eastAsia="仿宋_GB2312"/>
          <w:color w:val="auto"/>
          <w:sz w:val="28"/>
          <w:szCs w:val="28"/>
          <w:highlight w:val="none"/>
        </w:rPr>
        <w:t>授权代表签字：</w:t>
      </w:r>
      <w:r>
        <w:rPr>
          <w:rFonts w:ascii="Times New Roman" w:hAnsi="Times New Roman" w:eastAsia="仿宋_GB2312"/>
          <w:color w:val="auto"/>
          <w:sz w:val="28"/>
          <w:szCs w:val="28"/>
          <w:highlight w:val="none"/>
          <w:u w:val="singl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磋商供应商名称（签章）：</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7"/>
        <w:spacing w:line="60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开户银行：</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pStyle w:val="7"/>
        <w:spacing w:line="440" w:lineRule="exact"/>
        <w:ind w:firstLine="840"/>
        <w:rPr>
          <w:rFonts w:ascii="Times New Roman" w:hAnsi="Times New Roman" w:eastAsia="仿宋_GB2312"/>
          <w:color w:val="auto"/>
          <w:sz w:val="28"/>
          <w:szCs w:val="28"/>
          <w:highlight w:val="none"/>
        </w:rPr>
      </w:pPr>
      <w:r>
        <w:rPr>
          <w:rFonts w:ascii="Times New Roman" w:hAnsi="Times New Roman" w:eastAsia="仿宋_GB2312"/>
          <w:color w:val="auto"/>
          <w:sz w:val="28"/>
          <w:szCs w:val="28"/>
          <w:highlight w:val="none"/>
        </w:rPr>
        <w:t>帐号/行号：</w:t>
      </w:r>
      <w:r>
        <w:rPr>
          <w:rFonts w:ascii="Times New Roman" w:hAnsi="Times New Roman" w:eastAsia="仿宋_GB2312"/>
          <w:color w:val="auto"/>
          <w:sz w:val="28"/>
          <w:szCs w:val="28"/>
          <w:highlight w:val="none"/>
          <w:u w:val="single"/>
        </w:rPr>
        <w:t xml:space="preserve">                       </w:t>
      </w:r>
      <w:r>
        <w:rPr>
          <w:rFonts w:ascii="Times New Roman" w:hAnsi="Times New Roman" w:eastAsia="仿宋_GB2312"/>
          <w:color w:val="auto"/>
          <w:sz w:val="28"/>
          <w:szCs w:val="28"/>
          <w:highlight w:val="none"/>
        </w:rPr>
        <w:t xml:space="preserve">   </w:t>
      </w: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spacing w:line="360" w:lineRule="exact"/>
        <w:rPr>
          <w:rFonts w:eastAsia="Times New Roman"/>
          <w:color w:val="auto"/>
          <w:szCs w:val="21"/>
          <w:highlight w:val="none"/>
        </w:rPr>
      </w:pPr>
    </w:p>
    <w:p>
      <w:pPr>
        <w:rPr>
          <w:b/>
          <w:color w:val="auto"/>
          <w:szCs w:val="21"/>
          <w:highlight w:val="none"/>
        </w:rPr>
      </w:pPr>
    </w:p>
    <w:p>
      <w:pPr>
        <w:rPr>
          <w:b/>
          <w:color w:val="auto"/>
          <w:szCs w:val="21"/>
          <w:highlight w:val="none"/>
        </w:rPr>
        <w:sectPr>
          <w:footerReference r:id="rId15" w:type="default"/>
          <w:pgSz w:w="11906" w:h="16838"/>
          <w:pgMar w:top="1418" w:right="1418" w:bottom="1418" w:left="1418" w:header="851" w:footer="992" w:gutter="0"/>
          <w:pgNumType w:start="25"/>
          <w:cols w:space="720" w:num="1"/>
          <w:docGrid w:type="lines" w:linePitch="312" w:charSpace="0"/>
        </w:sectPr>
      </w:pPr>
    </w:p>
    <w:p>
      <w:pPr>
        <w:outlineLvl w:val="0"/>
        <w:rPr>
          <w:color w:val="auto"/>
          <w:highlight w:val="none"/>
        </w:rPr>
      </w:pPr>
      <w:bookmarkStart w:id="27" w:name="_Toc24721"/>
      <w:r>
        <w:rPr>
          <w:rFonts w:hint="eastAsia" w:cs="Angsana New"/>
          <w:b/>
          <w:color w:val="auto"/>
          <w:kern w:val="0"/>
          <w:sz w:val="30"/>
          <w:szCs w:val="30"/>
          <w:highlight w:val="none"/>
          <w:lang w:bidi="ar"/>
        </w:rPr>
        <w:t>附件2</w:t>
      </w:r>
      <w:bookmarkEnd w:id="27"/>
      <w:r>
        <w:rPr>
          <w:rFonts w:hint="eastAsia" w:cs="Angsana New"/>
          <w:b/>
          <w:color w:val="auto"/>
          <w:kern w:val="0"/>
          <w:sz w:val="30"/>
          <w:szCs w:val="30"/>
          <w:highlight w:val="none"/>
          <w:lang w:bidi="ar"/>
        </w:rPr>
        <w:t xml:space="preserve">    </w:t>
      </w:r>
      <w:r>
        <w:rPr>
          <w:b/>
          <w:color w:val="auto"/>
          <w:szCs w:val="21"/>
          <w:highlight w:val="none"/>
        </w:rPr>
        <w:t xml:space="preserve">         </w:t>
      </w:r>
    </w:p>
    <w:p>
      <w:pPr>
        <w:pStyle w:val="31"/>
        <w:rPr>
          <w:color w:val="auto"/>
          <w:highlight w:val="none"/>
        </w:rPr>
      </w:pPr>
    </w:p>
    <w:p>
      <w:pPr>
        <w:jc w:val="center"/>
        <w:rPr>
          <w:rFonts w:hint="eastAsia"/>
          <w:b/>
          <w:color w:val="auto"/>
          <w:sz w:val="44"/>
          <w:szCs w:val="44"/>
          <w:highlight w:val="none"/>
        </w:rPr>
      </w:pPr>
      <w:r>
        <w:rPr>
          <w:rFonts w:hint="eastAsia"/>
          <w:b/>
          <w:color w:val="auto"/>
          <w:sz w:val="44"/>
          <w:szCs w:val="44"/>
          <w:highlight w:val="none"/>
        </w:rPr>
        <w:t>报</w:t>
      </w:r>
      <w:r>
        <w:rPr>
          <w:b/>
          <w:color w:val="auto"/>
          <w:sz w:val="44"/>
          <w:szCs w:val="44"/>
          <w:highlight w:val="none"/>
        </w:rPr>
        <w:t xml:space="preserve"> </w:t>
      </w:r>
      <w:r>
        <w:rPr>
          <w:rFonts w:hint="eastAsia"/>
          <w:b/>
          <w:color w:val="auto"/>
          <w:sz w:val="44"/>
          <w:szCs w:val="44"/>
          <w:highlight w:val="none"/>
        </w:rPr>
        <w:t>价</w:t>
      </w:r>
      <w:r>
        <w:rPr>
          <w:b/>
          <w:color w:val="auto"/>
          <w:sz w:val="44"/>
          <w:szCs w:val="44"/>
          <w:highlight w:val="none"/>
        </w:rPr>
        <w:t xml:space="preserve"> </w:t>
      </w:r>
      <w:r>
        <w:rPr>
          <w:rFonts w:hint="eastAsia"/>
          <w:b/>
          <w:color w:val="auto"/>
          <w:sz w:val="44"/>
          <w:szCs w:val="44"/>
          <w:highlight w:val="none"/>
        </w:rPr>
        <w:t>表</w:t>
      </w:r>
    </w:p>
    <w:p>
      <w:pPr>
        <w:pStyle w:val="31"/>
        <w:rPr>
          <w:color w:val="auto"/>
          <w:highlight w:val="none"/>
        </w:rPr>
      </w:pPr>
    </w:p>
    <w:p>
      <w:pPr>
        <w:rPr>
          <w:color w:val="auto"/>
          <w:sz w:val="28"/>
          <w:szCs w:val="28"/>
          <w:highlight w:val="none"/>
          <w:u w:val="single"/>
        </w:rPr>
      </w:pPr>
      <w:r>
        <w:rPr>
          <w:rFonts w:hint="eastAsia"/>
          <w:color w:val="auto"/>
          <w:sz w:val="28"/>
          <w:szCs w:val="28"/>
          <w:highlight w:val="none"/>
        </w:rPr>
        <w:t>项目名称</w:t>
      </w:r>
      <w:r>
        <w:rPr>
          <w:color w:val="auto"/>
          <w:sz w:val="28"/>
          <w:szCs w:val="28"/>
          <w:highlight w:val="none"/>
        </w:rPr>
        <w:t>:</w:t>
      </w:r>
      <w:r>
        <w:rPr>
          <w:color w:val="auto"/>
          <w:sz w:val="28"/>
          <w:szCs w:val="28"/>
          <w:highlight w:val="none"/>
          <w:u w:val="single"/>
        </w:rPr>
        <w:t xml:space="preserve">               </w:t>
      </w:r>
      <w:r>
        <w:rPr>
          <w:rFonts w:hint="eastAsia"/>
          <w:color w:val="auto"/>
          <w:sz w:val="28"/>
          <w:szCs w:val="28"/>
          <w:highlight w:val="none"/>
          <w:u w:val="single"/>
        </w:rPr>
        <w:t>项目</w:t>
      </w:r>
      <w:r>
        <w:rPr>
          <w:color w:val="auto"/>
          <w:sz w:val="28"/>
          <w:szCs w:val="28"/>
          <w:highlight w:val="none"/>
          <w:u w:val="single"/>
        </w:rPr>
        <w:t xml:space="preserve">   </w:t>
      </w:r>
    </w:p>
    <w:p>
      <w:pPr>
        <w:pStyle w:val="31"/>
        <w:rPr>
          <w:color w:val="auto"/>
          <w:highlight w:val="none"/>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402"/>
        <w:gridCol w:w="1133"/>
        <w:gridCol w:w="852"/>
        <w:gridCol w:w="1700"/>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34" w:type="dxa"/>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序号</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3402"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内容</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133" w:type="dxa"/>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单位</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852" w:type="dxa"/>
            <w:noWrap w:val="0"/>
            <w:vAlign w:val="center"/>
          </w:tcPr>
          <w:p>
            <w:pPr>
              <w:keepNext w:val="0"/>
              <w:keepLines w:val="0"/>
              <w:suppressLineNumbers w:val="0"/>
              <w:spacing w:before="0" w:beforeAutospacing="0" w:after="0" w:afterAutospacing="0"/>
              <w:ind w:left="0" w:right="0"/>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数量</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700" w:type="dxa"/>
            <w:noWrap w:val="0"/>
            <w:vAlign w:val="center"/>
          </w:tcPr>
          <w:p>
            <w:pPr>
              <w:keepNext w:val="0"/>
              <w:keepLines w:val="0"/>
              <w:suppressLineNumbers w:val="0"/>
              <w:spacing w:before="0" w:beforeAutospacing="0" w:after="0" w:afterAutospacing="0"/>
              <w:ind w:left="0" w:right="0"/>
              <w:jc w:val="center"/>
              <w:rPr>
                <w:rFonts w:hint="eastAsia"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总价</w:t>
            </w:r>
          </w:p>
          <w:p>
            <w:pPr>
              <w:pStyle w:val="31"/>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p>
        </w:tc>
        <w:tc>
          <w:tcPr>
            <w:tcW w:w="1559"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trPr>
        <w:tc>
          <w:tcPr>
            <w:tcW w:w="534"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default" w:ascii="Times New Roman" w:hAnsi="Times New Roman" w:cs="Times New Roman"/>
                <w:color w:val="auto"/>
                <w:sz w:val="28"/>
                <w:szCs w:val="28"/>
                <w:highlight w:val="none"/>
              </w:rPr>
              <w:t>1</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c>
          <w:tcPr>
            <w:tcW w:w="1133" w:type="dxa"/>
            <w:noWrap w:val="0"/>
            <w:vAlign w:val="center"/>
          </w:tcPr>
          <w:p>
            <w:pPr>
              <w:keepNext w:val="0"/>
              <w:keepLines w:val="0"/>
              <w:suppressLineNumbers w:val="0"/>
              <w:spacing w:before="0" w:beforeAutospacing="0" w:after="0" w:afterAutospacing="0"/>
              <w:ind w:left="0" w:right="0" w:firstLine="280" w:firstLineChars="10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项</w:t>
            </w:r>
          </w:p>
        </w:tc>
        <w:tc>
          <w:tcPr>
            <w:tcW w:w="852" w:type="dxa"/>
            <w:noWrap w:val="0"/>
            <w:vAlign w:val="center"/>
          </w:tcPr>
          <w:p>
            <w:pPr>
              <w:keepNext w:val="0"/>
              <w:keepLines w:val="0"/>
              <w:suppressLineNumbers w:val="0"/>
              <w:spacing w:before="0" w:beforeAutospacing="0" w:after="0" w:afterAutospacing="0"/>
              <w:ind w:left="0" w:right="0"/>
              <w:jc w:val="center"/>
              <w:rPr>
                <w:rFonts w:hint="default" w:ascii="Times New Roman" w:hAnsi="Times New Roman" w:cs="Times New Roman"/>
                <w:color w:val="auto"/>
                <w:sz w:val="28"/>
                <w:szCs w:val="28"/>
                <w:highlight w:val="none"/>
              </w:rPr>
            </w:pPr>
          </w:p>
        </w:tc>
        <w:tc>
          <w:tcPr>
            <w:tcW w:w="1700" w:type="dxa"/>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c>
          <w:tcPr>
            <w:tcW w:w="1559" w:type="dxa"/>
            <w:noWrap w:val="0"/>
            <w:vAlign w:val="top"/>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default" w:ascii="Times New Roman" w:hAnsi="Times New Roman" w:cs="Times New Roman"/>
                <w:color w:val="auto"/>
                <w:sz w:val="28"/>
                <w:szCs w:val="28"/>
                <w:highlight w:val="none"/>
              </w:rPr>
              <w:t>2</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服务期限</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534" w:type="dxa"/>
            <w:noWrap w:val="0"/>
            <w:vAlign w:val="center"/>
          </w:tcPr>
          <w:p>
            <w:pPr>
              <w:pStyle w:val="31"/>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sz w:val="28"/>
                <w:szCs w:val="28"/>
                <w:highlight w:val="none"/>
              </w:rPr>
              <w:t>3</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开票方式</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noWrap w:val="0"/>
            <w:vAlign w:val="center"/>
          </w:tcPr>
          <w:p>
            <w:pPr>
              <w:pStyle w:val="31"/>
              <w:keepNext w:val="0"/>
              <w:keepLines w:val="0"/>
              <w:suppressLineNumbers w:val="0"/>
              <w:spacing w:before="0" w:beforeAutospacing="0" w:after="0" w:afterAutospacing="0"/>
              <w:ind w:left="0" w:right="0"/>
              <w:rPr>
                <w:rFonts w:hint="eastAsia" w:ascii="Times New Roman" w:hAnsi="Times New Roman" w:cs="Times New Roman"/>
                <w:color w:val="auto"/>
                <w:highlight w:val="none"/>
              </w:rPr>
            </w:pPr>
            <w:r>
              <w:rPr>
                <w:rFonts w:hint="eastAsia" w:ascii="Times New Roman" w:hAnsi="Times New Roman" w:cs="Times New Roman"/>
                <w:color w:val="auto"/>
                <w:sz w:val="28"/>
                <w:szCs w:val="28"/>
                <w:highlight w:val="none"/>
              </w:rPr>
              <w:t>4</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付款方式</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534"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highlight w:val="none"/>
              </w:rPr>
            </w:pPr>
            <w:r>
              <w:rPr>
                <w:rFonts w:hint="eastAsia" w:ascii="Times New Roman" w:hAnsi="Times New Roman" w:cs="Times New Roman"/>
                <w:color w:val="auto"/>
                <w:sz w:val="28"/>
                <w:szCs w:val="28"/>
                <w:highlight w:val="none"/>
              </w:rPr>
              <w:t>5</w:t>
            </w:r>
          </w:p>
        </w:tc>
        <w:tc>
          <w:tcPr>
            <w:tcW w:w="3402" w:type="dxa"/>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r>
              <w:rPr>
                <w:rFonts w:hint="eastAsia" w:ascii="Times New Roman" w:hAnsi="Times New Roman" w:cs="Times New Roman"/>
                <w:color w:val="auto"/>
                <w:sz w:val="28"/>
                <w:szCs w:val="28"/>
                <w:highlight w:val="none"/>
              </w:rPr>
              <w:t>其他</w:t>
            </w:r>
          </w:p>
        </w:tc>
        <w:tc>
          <w:tcPr>
            <w:tcW w:w="5244"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8"/>
                <w:szCs w:val="28"/>
                <w:highlight w:val="none"/>
              </w:rPr>
            </w:pPr>
          </w:p>
        </w:tc>
      </w:tr>
    </w:tbl>
    <w:p>
      <w:pPr>
        <w:rPr>
          <w:rFonts w:hint="eastAsia"/>
          <w:color w:val="auto"/>
          <w:sz w:val="28"/>
          <w:szCs w:val="28"/>
          <w:highlight w:val="none"/>
        </w:rPr>
      </w:pPr>
    </w:p>
    <w:p>
      <w:pPr>
        <w:rPr>
          <w:rFonts w:hint="eastAsia"/>
          <w:color w:val="auto"/>
          <w:sz w:val="28"/>
          <w:szCs w:val="28"/>
          <w:highlight w:val="none"/>
        </w:rPr>
      </w:pPr>
      <w:r>
        <w:rPr>
          <w:rFonts w:hint="eastAsia"/>
          <w:color w:val="auto"/>
          <w:sz w:val="28"/>
          <w:szCs w:val="28"/>
          <w:highlight w:val="none"/>
        </w:rPr>
        <w:t>注：所有价格均用人民币表示，单位为元，精确到小数点后</w:t>
      </w:r>
      <w:r>
        <w:rPr>
          <w:color w:val="auto"/>
          <w:sz w:val="28"/>
          <w:szCs w:val="28"/>
          <w:highlight w:val="none"/>
        </w:rPr>
        <w:t>2</w:t>
      </w:r>
      <w:r>
        <w:rPr>
          <w:rFonts w:hint="eastAsia"/>
          <w:color w:val="auto"/>
          <w:sz w:val="28"/>
          <w:szCs w:val="28"/>
          <w:highlight w:val="none"/>
        </w:rPr>
        <w:t>位。</w:t>
      </w:r>
    </w:p>
    <w:p>
      <w:pPr>
        <w:pStyle w:val="31"/>
        <w:rPr>
          <w:color w:val="auto"/>
          <w:highlight w:val="none"/>
        </w:rPr>
      </w:pPr>
    </w:p>
    <w:p>
      <w:pPr>
        <w:rPr>
          <w:color w:val="auto"/>
          <w:sz w:val="28"/>
          <w:szCs w:val="28"/>
          <w:highlight w:val="none"/>
        </w:rPr>
      </w:pPr>
      <w:r>
        <w:rPr>
          <w:rFonts w:hint="eastAsia"/>
          <w:color w:val="auto"/>
          <w:sz w:val="28"/>
          <w:szCs w:val="28"/>
          <w:highlight w:val="none"/>
        </w:rPr>
        <w:t>授权代表（签字）</w:t>
      </w:r>
      <w:r>
        <w:rPr>
          <w:color w:val="auto"/>
          <w:sz w:val="28"/>
          <w:szCs w:val="28"/>
          <w:highlight w:val="none"/>
        </w:rPr>
        <w:t>:</w:t>
      </w:r>
    </w:p>
    <w:p>
      <w:pPr>
        <w:pStyle w:val="31"/>
        <w:rPr>
          <w:color w:val="auto"/>
          <w:highlight w:val="none"/>
        </w:rPr>
      </w:pPr>
    </w:p>
    <w:p>
      <w:pPr>
        <w:rPr>
          <w:color w:val="auto"/>
          <w:sz w:val="28"/>
          <w:szCs w:val="28"/>
          <w:highlight w:val="none"/>
          <w:u w:val="single"/>
        </w:rPr>
      </w:pPr>
      <w:r>
        <w:rPr>
          <w:rFonts w:hint="eastAsia"/>
          <w:color w:val="auto"/>
          <w:sz w:val="28"/>
          <w:szCs w:val="28"/>
          <w:highlight w:val="none"/>
        </w:rPr>
        <w:t>磋商供应商名称（签章）：</w:t>
      </w:r>
    </w:p>
    <w:p>
      <w:pPr>
        <w:rPr>
          <w:color w:val="auto"/>
          <w:sz w:val="28"/>
          <w:szCs w:val="28"/>
          <w:highlight w:val="none"/>
        </w:rPr>
      </w:pPr>
    </w:p>
    <w:p>
      <w:pPr>
        <w:rPr>
          <w:rFonts w:hint="eastAsia"/>
          <w:color w:val="auto"/>
          <w:sz w:val="28"/>
          <w:szCs w:val="28"/>
          <w:highlight w:val="none"/>
          <w:u w:val="single"/>
        </w:rPr>
      </w:pPr>
      <w:r>
        <w:rPr>
          <w:rFonts w:hint="eastAsia"/>
          <w:color w:val="auto"/>
          <w:sz w:val="28"/>
          <w:szCs w:val="28"/>
          <w:highlight w:val="none"/>
        </w:rPr>
        <w:t>报价时间：年</w:t>
      </w:r>
      <w:r>
        <w:rPr>
          <w:color w:val="auto"/>
          <w:sz w:val="28"/>
          <w:szCs w:val="28"/>
          <w:highlight w:val="none"/>
        </w:rPr>
        <w:t xml:space="preserve">   </w:t>
      </w:r>
      <w:r>
        <w:rPr>
          <w:rFonts w:hint="eastAsia"/>
          <w:color w:val="auto"/>
          <w:sz w:val="28"/>
          <w:szCs w:val="28"/>
          <w:highlight w:val="none"/>
        </w:rPr>
        <w:t>月</w:t>
      </w:r>
      <w:r>
        <w:rPr>
          <w:color w:val="auto"/>
          <w:sz w:val="28"/>
          <w:szCs w:val="28"/>
          <w:highlight w:val="none"/>
        </w:rPr>
        <w:t xml:space="preserve">    </w:t>
      </w:r>
      <w:r>
        <w:rPr>
          <w:rFonts w:hint="eastAsia"/>
          <w:color w:val="auto"/>
          <w:sz w:val="28"/>
          <w:szCs w:val="28"/>
          <w:highlight w:val="none"/>
        </w:rPr>
        <w:t>日</w:t>
      </w:r>
      <w:r>
        <w:rPr>
          <w:color w:val="auto"/>
          <w:sz w:val="28"/>
          <w:szCs w:val="28"/>
          <w:highlight w:val="none"/>
        </w:rPr>
        <w:t xml:space="preserve"> </w:t>
      </w: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outlineLvl w:val="0"/>
        <w:rPr>
          <w:rFonts w:cs="Angsana New"/>
          <w:b/>
          <w:color w:val="auto"/>
          <w:kern w:val="0"/>
          <w:sz w:val="30"/>
          <w:szCs w:val="30"/>
          <w:highlight w:val="none"/>
          <w:lang w:bidi="ar"/>
        </w:rPr>
      </w:pP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3</w:t>
      </w:r>
    </w:p>
    <w:p>
      <w:pPr>
        <w:pStyle w:val="11"/>
        <w:ind w:firstLine="241"/>
        <w:jc w:val="center"/>
        <w:rPr>
          <w:rFonts w:hint="eastAsia"/>
          <w:color w:val="auto"/>
          <w:highlight w:val="none"/>
          <w:lang w:bidi="ar"/>
        </w:rPr>
      </w:pPr>
      <w:r>
        <w:rPr>
          <w:rFonts w:hint="eastAsia"/>
          <w:color w:val="auto"/>
          <w:highlight w:val="none"/>
          <w:lang w:bidi="ar"/>
        </w:rPr>
        <w:t>商务响应表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项号</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商务条款</w:t>
            </w:r>
            <w:r>
              <w:rPr>
                <w:rFonts w:hint="default" w:ascii="Times New Roman" w:hAnsi="Times New Roman" w:cs="Times New Roman"/>
                <w:bCs/>
                <w:color w:val="auto"/>
                <w:kern w:val="0"/>
                <w:sz w:val="20"/>
                <w:szCs w:val="20"/>
                <w:highlight w:val="none"/>
                <w:lang w:bidi="ar"/>
              </w:rPr>
              <w:t>竞标要求</w:t>
            </w: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商务条款响应内容</w:t>
            </w: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1"/>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firstLine="400" w:firstLineChars="200"/>
              <w:rPr>
                <w:rFonts w:hint="eastAsia" w:ascii="宋体" w:hAnsi="Courier New" w:cs="Courier New"/>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bl>
    <w:p>
      <w:pPr>
        <w:pStyle w:val="12"/>
        <w:spacing w:line="240" w:lineRule="atLeast"/>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注：</w:t>
      </w:r>
    </w:p>
    <w:p>
      <w:pPr>
        <w:pStyle w:val="12"/>
        <w:spacing w:line="240" w:lineRule="atLeast"/>
        <w:rPr>
          <w:rFonts w:cs="Angsana New"/>
          <w:b/>
          <w:color w:val="auto"/>
          <w:kern w:val="0"/>
          <w:sz w:val="20"/>
          <w:szCs w:val="20"/>
          <w:highlight w:val="none"/>
        </w:rPr>
      </w:pPr>
      <w:r>
        <w:rPr>
          <w:rFonts w:hint="eastAsia" w:ascii="宋体" w:hAnsi="宋体" w:cs="宋体"/>
          <w:b/>
          <w:color w:val="auto"/>
          <w:kern w:val="0"/>
          <w:sz w:val="20"/>
          <w:szCs w:val="20"/>
          <w:highlight w:val="none"/>
          <w:lang w:bidi="ar"/>
        </w:rPr>
        <w:t>根据第二章</w:t>
      </w:r>
      <w:r>
        <w:rPr>
          <w:rFonts w:ascii="宋体" w:hAnsi="宋体" w:cs="宋体"/>
          <w:b/>
          <w:color w:val="auto"/>
          <w:kern w:val="0"/>
          <w:sz w:val="20"/>
          <w:szCs w:val="20"/>
          <w:highlight w:val="none"/>
          <w:lang w:bidi="ar"/>
        </w:rPr>
        <w:t xml:space="preserve"> </w:t>
      </w:r>
      <w:r>
        <w:rPr>
          <w:rFonts w:hint="eastAsia" w:ascii="宋体" w:hAnsi="宋体" w:cs="宋体"/>
          <w:b/>
          <w:color w:val="auto"/>
          <w:kern w:val="0"/>
          <w:sz w:val="20"/>
          <w:szCs w:val="20"/>
          <w:highlight w:val="none"/>
          <w:lang w:bidi="ar"/>
        </w:rPr>
        <w:t>项目服务要求的商务条款填写：</w:t>
      </w:r>
    </w:p>
    <w:p>
      <w:pPr>
        <w:pStyle w:val="12"/>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1、商务条款响应内容与竞标要求相同的为无偏离，商务条款响应内容高于竞标要求的为正偏离，低于竞标要求的为负偏离。</w:t>
      </w:r>
    </w:p>
    <w:p>
      <w:pPr>
        <w:pStyle w:val="12"/>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2、</w:t>
      </w:r>
      <w:r>
        <w:rPr>
          <w:rFonts w:hint="eastAsia" w:ascii="宋体" w:hAnsi="宋体" w:cs="宋体"/>
          <w:color w:val="auto"/>
          <w:kern w:val="0"/>
          <w:sz w:val="20"/>
          <w:szCs w:val="20"/>
          <w:highlight w:val="none"/>
          <w:lang w:bidi="ar"/>
        </w:rPr>
        <w:t>供应商应根据自身情况对照采购文件文件要求在“偏离情况”栏注明“正偏离”、“负偏离”或“无偏离”。</w:t>
      </w:r>
    </w:p>
    <w:p>
      <w:pPr>
        <w:outlineLvl w:val="0"/>
        <w:rPr>
          <w:rFonts w:hint="eastAsia" w:cs="Angsana New"/>
          <w:color w:val="auto"/>
          <w:kern w:val="0"/>
          <w:sz w:val="30"/>
          <w:szCs w:val="30"/>
          <w:highlight w:val="none"/>
          <w:lang w:bidi="ar"/>
        </w:rPr>
      </w:pPr>
      <w:r>
        <w:rPr>
          <w:color w:val="auto"/>
          <w:highlight w:val="none"/>
          <w:lang w:bidi="ar"/>
        </w:rPr>
        <w:br w:type="page"/>
      </w:r>
      <w:r>
        <w:rPr>
          <w:rFonts w:hint="eastAsia" w:cs="Angsana New"/>
          <w:b/>
          <w:color w:val="auto"/>
          <w:kern w:val="0"/>
          <w:sz w:val="30"/>
          <w:szCs w:val="30"/>
          <w:highlight w:val="none"/>
          <w:lang w:bidi="ar"/>
        </w:rPr>
        <w:t>附件4</w:t>
      </w:r>
    </w:p>
    <w:p>
      <w:pPr>
        <w:pStyle w:val="12"/>
        <w:spacing w:line="440" w:lineRule="exact"/>
        <w:ind w:firstLine="602" w:firstLineChars="200"/>
        <w:jc w:val="center"/>
        <w:rPr>
          <w:rFonts w:hint="eastAsia" w:cs="Angsana New"/>
          <w:b/>
          <w:color w:val="auto"/>
          <w:kern w:val="0"/>
          <w:sz w:val="30"/>
          <w:szCs w:val="30"/>
          <w:highlight w:val="none"/>
        </w:rPr>
      </w:pPr>
      <w:r>
        <w:rPr>
          <w:rFonts w:hint="eastAsia"/>
          <w:b/>
          <w:color w:val="auto"/>
          <w:kern w:val="0"/>
          <w:sz w:val="30"/>
          <w:szCs w:val="30"/>
          <w:highlight w:val="none"/>
          <w:lang w:bidi="ar"/>
        </w:rPr>
        <w:t>供应商认为必要提供的相关证明材料</w:t>
      </w:r>
    </w:p>
    <w:p>
      <w:pPr>
        <w:pStyle w:val="12"/>
        <w:spacing w:before="240"/>
        <w:jc w:val="center"/>
        <w:rPr>
          <w:rFonts w:ascii="宋体" w:hAnsi="宋体" w:cs="宋体"/>
          <w:color w:val="auto"/>
          <w:kern w:val="0"/>
          <w:sz w:val="20"/>
          <w:szCs w:val="20"/>
          <w:highlight w:val="none"/>
          <w:lang w:bidi="ar"/>
        </w:rPr>
      </w:pPr>
      <w:r>
        <w:rPr>
          <w:rFonts w:hint="eastAsia" w:ascii="宋体" w:hAnsi="宋体" w:cs="宋体"/>
          <w:color w:val="auto"/>
          <w:kern w:val="0"/>
          <w:sz w:val="20"/>
          <w:szCs w:val="20"/>
          <w:highlight w:val="none"/>
          <w:lang w:bidi="ar"/>
        </w:rPr>
        <w:t>（由供应商根据项目要求、评定成交的标准及自身情况自行编写）</w:t>
      </w: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pStyle w:val="31"/>
        <w:rPr>
          <w:rFonts w:ascii="宋体"/>
          <w:b/>
          <w:bCs/>
          <w:caps/>
          <w:color w:val="auto"/>
          <w:highlight w:val="none"/>
        </w:rPr>
      </w:pPr>
    </w:p>
    <w:p>
      <w:pPr>
        <w:numPr>
          <w:ilvl w:val="0"/>
          <w:numId w:val="2"/>
        </w:numPr>
        <w:spacing w:line="540" w:lineRule="exact"/>
        <w:jc w:val="center"/>
        <w:rPr>
          <w:rFonts w:hint="eastAsia" w:ascii="宋体" w:hAnsi="宋体" w:cs="宋体"/>
          <w:b/>
          <w:color w:val="auto"/>
          <w:sz w:val="32"/>
          <w:szCs w:val="32"/>
          <w:highlight w:val="none"/>
          <w:lang w:bidi="ar"/>
        </w:rPr>
      </w:pPr>
      <w:r>
        <w:rPr>
          <w:rFonts w:hint="eastAsia" w:ascii="宋体" w:hAnsi="宋体" w:cs="宋体"/>
          <w:b/>
          <w:color w:val="auto"/>
          <w:sz w:val="32"/>
          <w:szCs w:val="32"/>
          <w:highlight w:val="none"/>
          <w:lang w:bidi="ar"/>
        </w:rPr>
        <w:t>供应商资格及其竞标服务的证明文件</w:t>
      </w:r>
    </w:p>
    <w:p>
      <w:pPr>
        <w:pStyle w:val="31"/>
        <w:rPr>
          <w:color w:val="auto"/>
          <w:highlight w:val="none"/>
        </w:rPr>
      </w:pPr>
    </w:p>
    <w:p>
      <w:pPr>
        <w:spacing w:line="540" w:lineRule="exact"/>
        <w:jc w:val="center"/>
        <w:rPr>
          <w:rFonts w:hint="eastAsia" w:cs="宋体"/>
          <w:b/>
          <w:color w:val="auto"/>
          <w:sz w:val="30"/>
          <w:szCs w:val="30"/>
          <w:highlight w:val="none"/>
        </w:rPr>
      </w:pPr>
      <w:r>
        <w:rPr>
          <w:rFonts w:hint="eastAsia" w:ascii="宋体" w:hAnsi="宋体" w:cs="宋体"/>
          <w:b/>
          <w:color w:val="auto"/>
          <w:sz w:val="30"/>
          <w:szCs w:val="30"/>
          <w:highlight w:val="none"/>
          <w:lang w:bidi="ar"/>
        </w:rPr>
        <w:t>供应商资格证明文件格式</w:t>
      </w:r>
    </w:p>
    <w:p>
      <w:pPr>
        <w:outlineLvl w:val="0"/>
        <w:rPr>
          <w:rFonts w:hint="eastAsia" w:cs="Angsana New"/>
          <w:b/>
          <w:color w:val="auto"/>
          <w:kern w:val="0"/>
          <w:sz w:val="30"/>
          <w:szCs w:val="30"/>
          <w:highlight w:val="none"/>
          <w:lang w:bidi="ar"/>
        </w:rPr>
      </w:pPr>
      <w:r>
        <w:rPr>
          <w:rFonts w:hint="eastAsia" w:ascii="宋体" w:hAnsi="宋体" w:cs="宋体"/>
          <w:b/>
          <w:color w:val="auto"/>
          <w:kern w:val="0"/>
          <w:sz w:val="20"/>
          <w:szCs w:val="20"/>
          <w:highlight w:val="none"/>
          <w:lang w:bidi="ar"/>
        </w:rPr>
        <w:br w:type="page"/>
      </w:r>
      <w:r>
        <w:rPr>
          <w:rFonts w:hint="eastAsia" w:cs="Angsana New"/>
          <w:b/>
          <w:color w:val="auto"/>
          <w:kern w:val="0"/>
          <w:sz w:val="30"/>
          <w:szCs w:val="30"/>
          <w:highlight w:val="none"/>
          <w:lang w:bidi="ar"/>
        </w:rPr>
        <w:t>附件5</w:t>
      </w:r>
    </w:p>
    <w:p>
      <w:pPr>
        <w:spacing w:before="312" w:beforeLines="100" w:after="156" w:afterLines="50" w:line="520" w:lineRule="exact"/>
        <w:ind w:left="540"/>
        <w:jc w:val="center"/>
        <w:rPr>
          <w:rFonts w:hint="eastAsia" w:ascii="宋体" w:hAnsi="宋体" w:cs="宋体"/>
          <w:b/>
          <w:color w:val="auto"/>
          <w:kern w:val="0"/>
          <w:sz w:val="44"/>
          <w:szCs w:val="44"/>
          <w:highlight w:val="none"/>
          <w:lang w:bidi="ar"/>
        </w:rPr>
      </w:pPr>
      <w:r>
        <w:rPr>
          <w:rFonts w:hint="eastAsia" w:ascii="宋体" w:hAnsi="宋体" w:cs="宋体"/>
          <w:b/>
          <w:color w:val="auto"/>
          <w:kern w:val="0"/>
          <w:sz w:val="44"/>
          <w:szCs w:val="44"/>
          <w:highlight w:val="none"/>
          <w:lang w:bidi="ar"/>
        </w:rPr>
        <w:t>法定代表人（负责人）证明书</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供应商名称：</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地    址：</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成立时间： 年 月 日</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经营期限：</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姓    名：性     别：</w:t>
      </w:r>
    </w:p>
    <w:p>
      <w:pPr>
        <w:spacing w:line="520" w:lineRule="exact"/>
        <w:ind w:left="540"/>
        <w:rPr>
          <w:rFonts w:ascii="仿宋_GB2312" w:hAnsi="仿宋_GB2312" w:eastAsia="仿宋_GB2312" w:cs="仿宋_GB2312"/>
          <w:color w:val="auto"/>
          <w:sz w:val="32"/>
          <w:szCs w:val="32"/>
          <w:highlight w:val="none"/>
          <w:u w:val="single"/>
        </w:rPr>
      </w:pPr>
      <w:r>
        <w:rPr>
          <w:rFonts w:hint="eastAsia" w:ascii="仿宋_GB2312" w:hAnsi="仿宋_GB2312" w:eastAsia="仿宋_GB2312" w:cs="仿宋_GB2312"/>
          <w:color w:val="auto"/>
          <w:sz w:val="32"/>
          <w:szCs w:val="32"/>
          <w:highlight w:val="none"/>
        </w:rPr>
        <w:t>年    龄：职     务：</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身份证号码：</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系（供应商名称）的法定代表人（负责人）。</w:t>
      </w: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特此证明。</w:t>
      </w: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p>
    <w:p>
      <w:pPr>
        <w:spacing w:line="520" w:lineRule="exact"/>
        <w:ind w:left="54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附件：法定代表人（负责人）有效身份证正反面复印件</w:t>
      </w:r>
    </w:p>
    <w:p>
      <w:pPr>
        <w:spacing w:line="520" w:lineRule="exact"/>
        <w:ind w:left="540"/>
        <w:rPr>
          <w:rFonts w:ascii="仿宋_GB2312" w:hAnsi="仿宋_GB2312" w:eastAsia="仿宋_GB2312" w:cs="仿宋_GB2312"/>
          <w:color w:val="auto"/>
          <w:sz w:val="32"/>
          <w:szCs w:val="32"/>
          <w:highlight w:val="none"/>
        </w:rPr>
      </w:pPr>
    </w:p>
    <w:p>
      <w:pPr>
        <w:wordWrap w:val="0"/>
        <w:spacing w:line="520" w:lineRule="exact"/>
        <w:ind w:left="540"/>
        <w:jc w:val="righ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供应商（盖公章）：</w:t>
      </w:r>
    </w:p>
    <w:p>
      <w:pPr>
        <w:snapToGrid w:val="0"/>
        <w:spacing w:before="156" w:beforeLines="50" w:after="50" w:line="520" w:lineRule="exact"/>
        <w:ind w:firstLine="7040" w:firstLineChars="2200"/>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年月日</w:t>
      </w:r>
    </w:p>
    <w:p>
      <w:pPr>
        <w:snapToGrid w:val="0"/>
        <w:spacing w:before="156" w:beforeLines="50" w:after="50" w:line="360" w:lineRule="exact"/>
        <w:jc w:val="left"/>
        <w:rPr>
          <w:rFonts w:ascii="仿宋_GB2312" w:hAnsi="仿宋_GB2312" w:eastAsia="仿宋_GB2312" w:cs="仿宋_GB2312"/>
          <w:color w:val="auto"/>
          <w:szCs w:val="21"/>
          <w:highlight w:val="none"/>
        </w:rPr>
      </w:pPr>
    </w:p>
    <w:p>
      <w:pPr>
        <w:snapToGrid w:val="0"/>
        <w:spacing w:before="156" w:beforeLines="50" w:after="50" w:line="360" w:lineRule="exact"/>
        <w:jc w:val="left"/>
        <w:rPr>
          <w:rFonts w:ascii="仿宋_GB2312" w:hAnsi="仿宋_GB2312" w:eastAsia="仿宋_GB2312" w:cs="仿宋_GB2312"/>
          <w:color w:val="auto"/>
          <w:sz w:val="24"/>
          <w:highlight w:val="none"/>
        </w:rPr>
      </w:pPr>
      <w:r>
        <w:rPr>
          <w:rFonts w:hint="eastAsia" w:ascii="仿宋_GB2312" w:hAnsi="仿宋_GB2312" w:eastAsia="仿宋_GB2312" w:cs="仿宋_GB2312"/>
          <w:color w:val="auto"/>
          <w:sz w:val="24"/>
          <w:highlight w:val="none"/>
        </w:rPr>
        <w:t>注：1</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自然人竞标的无需提供，联合体竞标的只需牵头人出具。</w:t>
      </w:r>
    </w:p>
    <w:p>
      <w:pPr>
        <w:snapToGrid w:val="0"/>
        <w:spacing w:before="156" w:beforeLines="50" w:after="50" w:line="360" w:lineRule="exact"/>
        <w:ind w:firstLine="480" w:firstLineChars="200"/>
        <w:jc w:val="left"/>
        <w:rPr>
          <w:rFonts w:ascii="宋体" w:hAnsi="宋体"/>
          <w:b/>
          <w:color w:val="auto"/>
          <w:sz w:val="24"/>
          <w:highlight w:val="none"/>
        </w:rPr>
      </w:pPr>
      <w:r>
        <w:rPr>
          <w:rFonts w:hint="eastAsia" w:ascii="仿宋_GB2312" w:hAnsi="仿宋_GB2312" w:eastAsia="仿宋_GB2312" w:cs="仿宋_GB2312"/>
          <w:color w:val="auto"/>
          <w:sz w:val="24"/>
          <w:highlight w:val="none"/>
        </w:rPr>
        <w:t>2</w:t>
      </w:r>
      <w:r>
        <w:rPr>
          <w:rFonts w:ascii="仿宋_GB2312" w:hAnsi="仿宋_GB2312" w:eastAsia="仿宋_GB2312" w:cs="仿宋_GB2312"/>
          <w:color w:val="auto"/>
          <w:sz w:val="24"/>
          <w:highlight w:val="none"/>
        </w:rPr>
        <w:t>.</w:t>
      </w:r>
      <w:r>
        <w:rPr>
          <w:rFonts w:hint="eastAsia" w:ascii="仿宋_GB2312" w:hAnsi="仿宋_GB2312" w:eastAsia="仿宋_GB2312" w:cs="仿宋_GB2312"/>
          <w:color w:val="auto"/>
          <w:sz w:val="24"/>
          <w:highlight w:val="none"/>
        </w:rPr>
        <w:t>供应商为其他组织或自然人时，本竞争性磋商文件所称负责人是指参加竞标的其他组织营业执照上的负责人，本竞争性磋商文件所称自然人指参与竞标的自然人本人。</w:t>
      </w:r>
    </w:p>
    <w:p>
      <w:pPr>
        <w:spacing w:line="500" w:lineRule="exact"/>
        <w:rPr>
          <w:rFonts w:hint="eastAsia"/>
          <w:color w:val="auto"/>
          <w:highlight w:val="none"/>
        </w:rPr>
        <w:sectPr>
          <w:footerReference r:id="rId16" w:type="default"/>
          <w:pgSz w:w="11906" w:h="16838"/>
          <w:pgMar w:top="1418" w:right="1418" w:bottom="1418" w:left="1418" w:header="851" w:footer="992" w:gutter="0"/>
          <w:pgNumType w:start="29"/>
          <w:cols w:space="720" w:num="1"/>
          <w:docGrid w:type="lines" w:linePitch="312" w:charSpace="0"/>
        </w:sectPr>
      </w:pPr>
    </w:p>
    <w:p>
      <w:pPr>
        <w:outlineLvl w:val="0"/>
        <w:rPr>
          <w:rFonts w:cs="Angsana New"/>
          <w:b/>
          <w:color w:val="auto"/>
          <w:kern w:val="0"/>
          <w:sz w:val="30"/>
          <w:szCs w:val="30"/>
          <w:highlight w:val="none"/>
        </w:rPr>
      </w:pP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6</w:t>
      </w:r>
    </w:p>
    <w:p>
      <w:pPr>
        <w:pStyle w:val="12"/>
        <w:spacing w:line="560" w:lineRule="exact"/>
        <w:jc w:val="center"/>
        <w:rPr>
          <w:rFonts w:hint="eastAsia" w:ascii="宋体" w:hAnsi="宋体" w:cs="宋体"/>
          <w:b/>
          <w:color w:val="auto"/>
          <w:kern w:val="0"/>
          <w:sz w:val="44"/>
          <w:szCs w:val="44"/>
          <w:highlight w:val="none"/>
          <w:lang w:bidi="ar"/>
        </w:rPr>
      </w:pPr>
    </w:p>
    <w:p>
      <w:pPr>
        <w:pStyle w:val="12"/>
        <w:spacing w:line="560" w:lineRule="exact"/>
        <w:jc w:val="center"/>
        <w:rPr>
          <w:rFonts w:hint="eastAsia" w:ascii="宋体" w:hAnsi="宋体" w:cs="宋体"/>
          <w:b/>
          <w:color w:val="auto"/>
          <w:kern w:val="0"/>
          <w:sz w:val="44"/>
          <w:szCs w:val="44"/>
          <w:highlight w:val="none"/>
          <w:lang w:bidi="ar"/>
        </w:rPr>
      </w:pPr>
      <w:r>
        <w:rPr>
          <w:rFonts w:hint="eastAsia" w:ascii="宋体" w:hAnsi="宋体" w:cs="宋体"/>
          <w:b/>
          <w:color w:val="auto"/>
          <w:kern w:val="0"/>
          <w:sz w:val="44"/>
          <w:szCs w:val="44"/>
          <w:highlight w:val="none"/>
          <w:lang w:bidi="ar"/>
        </w:rPr>
        <w:t>法定代表人（负责人）授权委托书格式</w:t>
      </w:r>
    </w:p>
    <w:p>
      <w:pPr>
        <w:pStyle w:val="12"/>
        <w:spacing w:line="560" w:lineRule="exact"/>
        <w:jc w:val="center"/>
        <w:rPr>
          <w:rFonts w:hint="eastAsia" w:ascii="宋体" w:hAnsi="宋体" w:cs="宋体"/>
          <w:b/>
          <w:color w:val="auto"/>
          <w:kern w:val="0"/>
          <w:sz w:val="44"/>
          <w:szCs w:val="44"/>
          <w:highlight w:val="none"/>
          <w:lang w:bidi="ar"/>
        </w:rPr>
      </w:pP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兹授权</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同志为我方参加</w:t>
      </w:r>
      <w:r>
        <w:rPr>
          <w:rFonts w:hint="eastAsia" w:ascii="仿宋_GB2312" w:hAnsi="仿宋_GB2312" w:eastAsia="仿宋_GB2312" w:cs="仿宋_GB2312"/>
          <w:color w:val="auto"/>
          <w:kern w:val="0"/>
          <w:sz w:val="32"/>
          <w:szCs w:val="32"/>
          <w:highlight w:val="none"/>
          <w:u w:val="single"/>
          <w:lang w:bidi="ar"/>
        </w:rPr>
        <w:t xml:space="preserve">                 </w:t>
      </w:r>
      <w:r>
        <w:rPr>
          <w:rFonts w:hint="eastAsia" w:ascii="仿宋_GB2312" w:hAnsi="仿宋_GB2312" w:eastAsia="仿宋_GB2312" w:cs="仿宋_GB2312"/>
          <w:color w:val="auto"/>
          <w:kern w:val="0"/>
          <w:sz w:val="32"/>
          <w:szCs w:val="32"/>
          <w:highlight w:val="none"/>
          <w:lang w:bidi="ar"/>
        </w:rPr>
        <w:t>项目竞标代理人，其代理权限为：</w:t>
      </w: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u w:val="single"/>
        </w:rPr>
      </w:pPr>
      <w:r>
        <w:rPr>
          <w:rFonts w:hint="eastAsia" w:ascii="仿宋_GB2312" w:hAnsi="仿宋_GB2312" w:eastAsia="仿宋_GB2312" w:cs="仿宋_GB2312"/>
          <w:color w:val="auto"/>
          <w:kern w:val="0"/>
          <w:sz w:val="32"/>
          <w:szCs w:val="32"/>
          <w:highlight w:val="none"/>
          <w:u w:val="single"/>
          <w:lang w:bidi="ar"/>
        </w:rPr>
        <w:t xml:space="preserve">                                                                                            </w:t>
      </w:r>
    </w:p>
    <w:p>
      <w:pPr>
        <w:pStyle w:val="12"/>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代理期限从    年    月   日至    年    月    日止</w:t>
      </w:r>
    </w:p>
    <w:p>
      <w:pPr>
        <w:pStyle w:val="12"/>
        <w:spacing w:line="480" w:lineRule="exact"/>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2"/>
        <w:spacing w:line="480" w:lineRule="exact"/>
        <w:ind w:firstLine="420"/>
        <w:rPr>
          <w:rFonts w:ascii="仿宋_GB2312" w:hAnsi="仿宋_GB2312" w:eastAsia="仿宋_GB2312" w:cs="仿宋_GB2312"/>
          <w:color w:val="auto"/>
          <w:kern w:val="0"/>
          <w:sz w:val="32"/>
          <w:szCs w:val="32"/>
          <w:highlight w:val="none"/>
          <w:lang w:bidi="ar"/>
        </w:rPr>
      </w:pPr>
      <w:r>
        <w:rPr>
          <w:rFonts w:hint="eastAsia" w:ascii="仿宋_GB2312" w:hAnsi="仿宋_GB2312" w:eastAsia="仿宋_GB2312" w:cs="仿宋_GB2312"/>
          <w:color w:val="auto"/>
          <w:kern w:val="0"/>
          <w:sz w:val="32"/>
          <w:szCs w:val="32"/>
          <w:highlight w:val="none"/>
          <w:lang w:bidi="ar"/>
        </w:rPr>
        <w:t xml:space="preserve">委托单位：  （单位公章）              </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法定代表人（负责人）：   （签字或盖章）</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 xml:space="preserve"> </w:t>
      </w:r>
    </w:p>
    <w:p>
      <w:pPr>
        <w:pStyle w:val="12"/>
        <w:spacing w:line="480" w:lineRule="exact"/>
        <w:ind w:firstLine="420"/>
        <w:rPr>
          <w:rFonts w:hint="eastAsia" w:ascii="仿宋_GB2312" w:hAnsi="仿宋_GB2312" w:eastAsia="仿宋_GB2312" w:cs="仿宋_GB2312"/>
          <w:color w:val="auto"/>
          <w:kern w:val="0"/>
          <w:sz w:val="32"/>
          <w:szCs w:val="32"/>
          <w:highlight w:val="none"/>
        </w:rPr>
      </w:pPr>
      <w:r>
        <w:rPr>
          <w:rFonts w:hint="eastAsia" w:ascii="仿宋_GB2312" w:hAnsi="仿宋_GB2312" w:eastAsia="仿宋_GB2312" w:cs="仿宋_GB2312"/>
          <w:color w:val="auto"/>
          <w:kern w:val="0"/>
          <w:sz w:val="32"/>
          <w:szCs w:val="32"/>
          <w:highlight w:val="none"/>
          <w:lang w:bidi="ar"/>
        </w:rPr>
        <w:t>签发日期：    年      月     日</w:t>
      </w:r>
    </w:p>
    <w:p>
      <w:pPr>
        <w:pStyle w:val="12"/>
        <w:spacing w:line="480" w:lineRule="exact"/>
        <w:rPr>
          <w:rFonts w:cs="Angsana New"/>
          <w:color w:val="auto"/>
          <w:kern w:val="0"/>
          <w:sz w:val="20"/>
          <w:szCs w:val="20"/>
          <w:highlight w:val="none"/>
        </w:rPr>
      </w:pPr>
      <w:r>
        <w:rPr>
          <w:rFonts w:cs="Angsana New"/>
          <w:color w:val="auto"/>
          <w:kern w:val="0"/>
          <w:sz w:val="20"/>
          <w:szCs w:val="20"/>
          <w:highlight w:val="none"/>
          <w:lang w:bidi="ar"/>
        </w:rPr>
        <w:t xml:space="preserve">                                                                                                                                                                                        </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3" w:hRule="atLeast"/>
          <w:jc w:val="center"/>
        </w:trPr>
        <w:tc>
          <w:tcPr>
            <w:tcW w:w="8244" w:type="dxa"/>
            <w:noWrap w:val="0"/>
            <w:vAlign w:val="top"/>
          </w:tcPr>
          <w:p>
            <w:pPr>
              <w:keepNext w:val="0"/>
              <w:keepLines w:val="0"/>
              <w:suppressLineNumbers w:val="0"/>
              <w:spacing w:before="0" w:beforeAutospacing="0" w:after="0" w:afterAutospacing="0" w:line="300" w:lineRule="auto"/>
              <w:ind w:left="0" w:right="0"/>
              <w:rPr>
                <w:rFonts w:hint="default" w:ascii="Times New Roman" w:hAnsi="Times New Roman" w:eastAsia="Times New Roman" w:cs="Times New Roman"/>
                <w:color w:val="auto"/>
                <w:sz w:val="24"/>
                <w:highlight w:val="none"/>
              </w:rPr>
            </w:pPr>
            <w:r>
              <w:rPr>
                <w:rFonts w:hint="eastAsia" w:ascii="宋体" w:hAnsi="宋体" w:cs="宋体"/>
                <w:color w:val="auto"/>
                <w:sz w:val="24"/>
                <w:highlight w:val="none"/>
              </w:rPr>
              <w:t>粘贴被授权人身份证（复印件）</w:t>
            </w:r>
          </w:p>
        </w:tc>
      </w:tr>
    </w:tbl>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cs="Angsana New"/>
          <w:color w:val="auto"/>
          <w:kern w:val="0"/>
          <w:sz w:val="20"/>
          <w:szCs w:val="20"/>
          <w:highlight w:val="none"/>
          <w:lang w:bidi="ar"/>
        </w:rPr>
      </w:pPr>
    </w:p>
    <w:p>
      <w:pPr>
        <w:pStyle w:val="12"/>
        <w:spacing w:line="480" w:lineRule="exact"/>
        <w:rPr>
          <w:rFonts w:hint="eastAsia" w:ascii="仿宋_GB2312" w:hAnsi="仿宋_GB2312" w:eastAsia="仿宋_GB2312" w:cs="仿宋_GB2312"/>
          <w:color w:val="auto"/>
          <w:kern w:val="0"/>
          <w:sz w:val="28"/>
          <w:szCs w:val="28"/>
          <w:highlight w:val="none"/>
        </w:rPr>
      </w:pPr>
      <w:r>
        <w:rPr>
          <w:rFonts w:cs="Angsana New"/>
          <w:color w:val="auto"/>
          <w:kern w:val="0"/>
          <w:sz w:val="20"/>
          <w:szCs w:val="20"/>
          <w:highlight w:val="none"/>
          <w:lang w:bidi="ar"/>
        </w:rPr>
        <w:t xml:space="preserve">   </w:t>
      </w:r>
      <w:r>
        <w:rPr>
          <w:rFonts w:hint="eastAsia" w:ascii="仿宋_GB2312" w:hAnsi="仿宋_GB2312" w:eastAsia="仿宋_GB2312" w:cs="仿宋_GB2312"/>
          <w:color w:val="auto"/>
          <w:kern w:val="0"/>
          <w:sz w:val="28"/>
          <w:szCs w:val="28"/>
          <w:highlight w:val="none"/>
          <w:lang w:bidi="ar"/>
        </w:rPr>
        <w:t xml:space="preserve"> 附：1、代理人工作单位：                       职务：</w:t>
      </w: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身份证号码：                           性别：           年龄：</w:t>
      </w:r>
    </w:p>
    <w:p>
      <w:pPr>
        <w:pStyle w:val="12"/>
        <w:spacing w:line="480" w:lineRule="exact"/>
        <w:ind w:firstLine="84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2、委托人营业执照号码：</w:t>
      </w: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地址：                                 单位性质：</w:t>
      </w: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 xml:space="preserve">       注册资金：                             经营范围：</w:t>
      </w:r>
    </w:p>
    <w:p>
      <w:pPr>
        <w:pStyle w:val="12"/>
        <w:spacing w:line="480" w:lineRule="exact"/>
        <w:rPr>
          <w:rFonts w:hint="eastAsia" w:ascii="仿宋_GB2312" w:hAnsi="仿宋_GB2312" w:eastAsia="仿宋_GB2312" w:cs="仿宋_GB2312"/>
          <w:color w:val="auto"/>
          <w:kern w:val="0"/>
          <w:sz w:val="28"/>
          <w:szCs w:val="28"/>
          <w:highlight w:val="none"/>
        </w:rPr>
      </w:pPr>
    </w:p>
    <w:p>
      <w:pPr>
        <w:pStyle w:val="12"/>
        <w:spacing w:line="480" w:lineRule="exact"/>
        <w:ind w:firstLine="420"/>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说明：</w:t>
      </w:r>
    </w:p>
    <w:p>
      <w:pPr>
        <w:pStyle w:val="12"/>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1、法定代表人（负责人）授权委托书所签发的代理期限必须涵盖代理人所有签字为有效的时间。</w:t>
      </w:r>
    </w:p>
    <w:p>
      <w:pPr>
        <w:pStyle w:val="12"/>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2、委托书内容填写要明确，文字要工整清楚，涂改无效。</w:t>
      </w:r>
    </w:p>
    <w:p>
      <w:pPr>
        <w:pStyle w:val="12"/>
        <w:spacing w:line="480" w:lineRule="exact"/>
        <w:ind w:firstLine="735"/>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lang w:bidi="ar"/>
        </w:rPr>
        <w:t>3、委托书不得转借、转让，不得买卖。</w:t>
      </w:r>
    </w:p>
    <w:p>
      <w:pPr>
        <w:pStyle w:val="12"/>
        <w:spacing w:line="560" w:lineRule="exact"/>
        <w:ind w:firstLine="840" w:firstLineChars="300"/>
        <w:rPr>
          <w:rFonts w:ascii="仿宋_GB2312" w:hAnsi="仿宋_GB2312" w:eastAsia="仿宋_GB2312" w:cs="仿宋_GB2312"/>
          <w:color w:val="auto"/>
          <w:kern w:val="0"/>
          <w:sz w:val="28"/>
          <w:szCs w:val="28"/>
          <w:highlight w:val="none"/>
          <w:lang w:bidi="ar"/>
        </w:rPr>
      </w:pPr>
      <w:r>
        <w:rPr>
          <w:rFonts w:hint="eastAsia" w:ascii="仿宋_GB2312" w:hAnsi="仿宋_GB2312" w:eastAsia="仿宋_GB2312" w:cs="仿宋_GB2312"/>
          <w:color w:val="auto"/>
          <w:kern w:val="0"/>
          <w:sz w:val="28"/>
          <w:szCs w:val="28"/>
          <w:highlight w:val="none"/>
          <w:lang w:bidi="ar"/>
        </w:rPr>
        <w:t>代理人根据授权范围，以委托单位的名义签订合同，并将此委托书提交给对方作为合同附件。</w:t>
      </w:r>
    </w:p>
    <w:p>
      <w:pPr>
        <w:outlineLvl w:val="0"/>
        <w:rPr>
          <w:rFonts w:hint="eastAsia" w:cs="Angsana New"/>
          <w:b/>
          <w:color w:val="auto"/>
          <w:kern w:val="0"/>
          <w:sz w:val="30"/>
          <w:szCs w:val="30"/>
          <w:highlight w:val="none"/>
          <w:lang w:bidi="ar"/>
        </w:rPr>
      </w:pPr>
      <w:r>
        <w:rPr>
          <w:rFonts w:ascii="仿宋_GB2312" w:hAnsi="仿宋_GB2312" w:eastAsia="仿宋_GB2312" w:cs="仿宋_GB2312"/>
          <w:color w:val="auto"/>
          <w:kern w:val="0"/>
          <w:sz w:val="28"/>
          <w:szCs w:val="28"/>
          <w:highlight w:val="none"/>
          <w:lang w:bidi="ar"/>
        </w:rPr>
        <w:br w:type="page"/>
      </w: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7</w:t>
      </w:r>
    </w:p>
    <w:p>
      <w:pPr>
        <w:jc w:val="center"/>
        <w:rPr>
          <w:rFonts w:hint="eastAsia"/>
          <w:b/>
          <w:color w:val="auto"/>
          <w:sz w:val="44"/>
          <w:szCs w:val="44"/>
          <w:highlight w:val="none"/>
        </w:rPr>
      </w:pPr>
      <w:r>
        <w:rPr>
          <w:rFonts w:hint="eastAsia"/>
          <w:b/>
          <w:color w:val="auto"/>
          <w:sz w:val="44"/>
          <w:szCs w:val="44"/>
          <w:highlight w:val="none"/>
        </w:rPr>
        <w:t>廉洁承诺书</w:t>
      </w:r>
    </w:p>
    <w:p>
      <w:pPr>
        <w:pStyle w:val="31"/>
        <w:rPr>
          <w:color w:val="auto"/>
          <w:highlight w:val="none"/>
        </w:rPr>
      </w:pPr>
    </w:p>
    <w:p>
      <w:pPr>
        <w:autoSpaceDE w:val="0"/>
        <w:autoSpaceDN w:val="0"/>
        <w:adjustRightInd w:val="0"/>
        <w:spacing w:line="600" w:lineRule="exact"/>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广西南博国际信息有限公司：</w:t>
      </w:r>
    </w:p>
    <w:p>
      <w:pPr>
        <w:pStyle w:val="31"/>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为积极配合贵公司进行的项目招标工作，有效遏制不公平竞争和违规违纪问题的发生，确保招标工作的公平、公正、公开，我们特向贵公司承诺如下事项：</w:t>
      </w:r>
    </w:p>
    <w:p>
      <w:pPr>
        <w:pStyle w:val="31"/>
        <w:spacing w:line="600" w:lineRule="exact"/>
        <w:rPr>
          <w:rFonts w:hint="eastAsia"/>
          <w:color w:val="auto"/>
          <w:highlight w:val="none"/>
        </w:rPr>
      </w:pP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1.自觉遵守国家法律法规及贵单位有关廉政建设制度。</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2.不使用不正当手段妨碍、排挤其它投标单位或串通投标。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3.按照招标文件规定的方式进行投标，不隐瞒本单位投标资质的真实情况，投标资质符合规定；保证不会以其他人名义投标或者以其他方式弄虚作假，骗取中标。</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4.不将主体、关键性工作进行分包（包括贴牌生产、转包等）。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6.不向贵公司涉及招标的部门及个人支付好处费、介绍费；购置或提供通讯工具、交通工具、电脑等。</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7.一旦发现相关人员在招标过程中有索要财物等不廉洁行为，坚决予以抵制，并及时向贵公司纪检监察部举报（举报电话：0771-2212021）。</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8.我方自愿将本承诺书作为投标文件及合同的附件，具有同等的法律效力。</w:t>
      </w:r>
    </w:p>
    <w:p>
      <w:pPr>
        <w:autoSpaceDE w:val="0"/>
        <w:autoSpaceDN w:val="0"/>
        <w:adjustRightInd w:val="0"/>
        <w:spacing w:line="600" w:lineRule="exact"/>
        <w:ind w:firstLine="560" w:firstLineChars="200"/>
        <w:jc w:val="left"/>
        <w:rPr>
          <w:rFonts w:hint="eastAsia"/>
          <w:color w:val="auto"/>
          <w:highlight w:val="none"/>
        </w:rPr>
      </w:pPr>
      <w:r>
        <w:rPr>
          <w:rFonts w:hint="eastAsia" w:ascii="仿宋_GB2312" w:hAnsi="仿宋_GB2312" w:eastAsia="仿宋_GB2312" w:cs="仿宋_GB2312"/>
          <w:color w:val="auto"/>
          <w:kern w:val="0"/>
          <w:sz w:val="28"/>
          <w:szCs w:val="28"/>
          <w:highlight w:val="none"/>
        </w:rPr>
        <w:t>9.若违反上述承诺或违反有关法律法规及贵公司有关规定，我方自愿永久放弃参与贵公司的所有业务往来，并承担贵公司制度规定的一切法律责任。</w:t>
      </w:r>
    </w:p>
    <w:p>
      <w:pPr>
        <w:autoSpaceDE w:val="0"/>
        <w:autoSpaceDN w:val="0"/>
        <w:adjustRightInd w:val="0"/>
        <w:spacing w:line="600" w:lineRule="exact"/>
        <w:ind w:firstLine="560" w:firstLineChars="2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10.本承诺书自签署之日起生效。</w:t>
      </w:r>
    </w:p>
    <w:p>
      <w:pPr>
        <w:pStyle w:val="31"/>
        <w:spacing w:line="600" w:lineRule="exact"/>
        <w:rPr>
          <w:rFonts w:hint="eastAsia"/>
          <w:color w:val="auto"/>
          <w:highlight w:val="none"/>
        </w:rPr>
      </w:pPr>
    </w:p>
    <w:p>
      <w:pPr>
        <w:autoSpaceDE w:val="0"/>
        <w:autoSpaceDN w:val="0"/>
        <w:adjustRightInd w:val="0"/>
        <w:spacing w:line="600" w:lineRule="exact"/>
        <w:ind w:firstLine="4480" w:firstLineChars="1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投标单位（公章）：</w:t>
      </w:r>
    </w:p>
    <w:p>
      <w:pPr>
        <w:pStyle w:val="31"/>
        <w:spacing w:line="600" w:lineRule="exact"/>
        <w:rPr>
          <w:rFonts w:hint="eastAsia"/>
          <w:color w:val="auto"/>
          <w:highlight w:val="none"/>
        </w:rPr>
      </w:pPr>
    </w:p>
    <w:p>
      <w:pPr>
        <w:autoSpaceDE w:val="0"/>
        <w:autoSpaceDN w:val="0"/>
        <w:adjustRightInd w:val="0"/>
        <w:spacing w:line="600" w:lineRule="exact"/>
        <w:ind w:firstLine="1680" w:firstLineChars="600"/>
        <w:jc w:val="left"/>
        <w:rPr>
          <w:rFonts w:hint="eastAsia" w:ascii="仿宋_GB2312" w:hAnsi="仿宋_GB2312" w:eastAsia="仿宋_GB2312" w:cs="仿宋_GB2312"/>
          <w:color w:val="auto"/>
          <w:kern w:val="0"/>
          <w:sz w:val="28"/>
          <w:szCs w:val="28"/>
          <w:highlight w:val="none"/>
        </w:rPr>
      </w:pPr>
      <w:r>
        <w:rPr>
          <w:rFonts w:hint="eastAsia" w:ascii="仿宋_GB2312" w:hAnsi="仿宋_GB2312" w:eastAsia="仿宋_GB2312" w:cs="仿宋_GB2312"/>
          <w:color w:val="auto"/>
          <w:kern w:val="0"/>
          <w:sz w:val="28"/>
          <w:szCs w:val="28"/>
          <w:highlight w:val="none"/>
        </w:rPr>
        <w:t>法定代表人（负责人）或授权代理人（签名）：</w:t>
      </w:r>
    </w:p>
    <w:p>
      <w:pPr>
        <w:pStyle w:val="31"/>
        <w:rPr>
          <w:rFonts w:hint="eastAsia"/>
          <w:color w:val="auto"/>
          <w:highlight w:val="none"/>
        </w:rPr>
      </w:pPr>
    </w:p>
    <w:p>
      <w:pPr>
        <w:pStyle w:val="7"/>
        <w:spacing w:line="400" w:lineRule="exact"/>
        <w:rPr>
          <w:rFonts w:ascii="仿宋_GB2312" w:hAnsi="仿宋_GB2312" w:eastAsia="仿宋_GB2312" w:cs="仿宋_GB2312"/>
          <w:color w:val="auto"/>
          <w:sz w:val="28"/>
          <w:szCs w:val="28"/>
          <w:highlight w:val="none"/>
        </w:rPr>
      </w:pPr>
      <w:r>
        <w:rPr>
          <w:color w:val="auto"/>
          <w:highlight w:val="none"/>
        </w:rPr>
        <w:t xml:space="preserve">                                             </w:t>
      </w:r>
      <w:r>
        <w:rPr>
          <w:rFonts w:hint="eastAsia" w:ascii="仿宋_GB2312" w:hAnsi="仿宋_GB2312" w:eastAsia="仿宋_GB2312" w:cs="仿宋_GB2312"/>
          <w:color w:val="auto"/>
          <w:sz w:val="28"/>
          <w:szCs w:val="28"/>
          <w:highlight w:val="none"/>
        </w:rPr>
        <w:t xml:space="preserve">  日期：   年  月  日</w:t>
      </w:r>
    </w:p>
    <w:p>
      <w:pPr>
        <w:outlineLvl w:val="0"/>
        <w:rPr>
          <w:rFonts w:hint="eastAsia" w:cs="Angsana New"/>
          <w:b/>
          <w:color w:val="auto"/>
          <w:sz w:val="30"/>
          <w:szCs w:val="30"/>
          <w:highlight w:val="none"/>
          <w:lang w:bidi="ar"/>
        </w:rPr>
      </w:pPr>
      <w:r>
        <w:rPr>
          <w:rFonts w:ascii="仿宋_GB2312" w:hAnsi="仿宋_GB2312" w:eastAsia="仿宋_GB2312" w:cs="仿宋_GB2312"/>
          <w:color w:val="auto"/>
          <w:sz w:val="28"/>
          <w:szCs w:val="28"/>
          <w:highlight w:val="none"/>
        </w:rPr>
        <w:br w:type="page"/>
      </w:r>
      <w:r>
        <w:rPr>
          <w:rFonts w:hint="eastAsia" w:cs="Angsana New"/>
          <w:b/>
          <w:color w:val="auto"/>
          <w:kern w:val="0"/>
          <w:sz w:val="30"/>
          <w:szCs w:val="30"/>
          <w:highlight w:val="none"/>
          <w:lang w:bidi="ar"/>
        </w:rPr>
        <w:t>附件</w:t>
      </w:r>
      <w:r>
        <w:rPr>
          <w:rFonts w:cs="Angsana New"/>
          <w:b/>
          <w:color w:val="auto"/>
          <w:kern w:val="0"/>
          <w:sz w:val="30"/>
          <w:szCs w:val="30"/>
          <w:highlight w:val="none"/>
          <w:lang w:bidi="ar"/>
        </w:rPr>
        <w:t>8</w:t>
      </w:r>
    </w:p>
    <w:p>
      <w:pPr>
        <w:pStyle w:val="12"/>
        <w:spacing w:line="560" w:lineRule="exact"/>
        <w:jc w:val="center"/>
        <w:rPr>
          <w:rFonts w:hint="eastAsia" w:ascii="宋体" w:hAnsi="宋体" w:cs="宋体"/>
          <w:b/>
          <w:color w:val="auto"/>
          <w:kern w:val="0"/>
          <w:sz w:val="30"/>
          <w:szCs w:val="30"/>
          <w:highlight w:val="none"/>
          <w:lang w:bidi="ar"/>
        </w:rPr>
      </w:pPr>
    </w:p>
    <w:p>
      <w:pPr>
        <w:pStyle w:val="12"/>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供应商认为必要提供的声明及文件资料</w:t>
      </w:r>
    </w:p>
    <w:p>
      <w:pPr>
        <w:pStyle w:val="12"/>
        <w:spacing w:line="560" w:lineRule="exact"/>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（格式自拟）</w:t>
      </w:r>
    </w:p>
    <w:p>
      <w:pPr>
        <w:pStyle w:val="12"/>
        <w:spacing w:before="240"/>
        <w:jc w:val="left"/>
        <w:rPr>
          <w:rFonts w:cs="Angsana New"/>
          <w:b/>
          <w:color w:val="auto"/>
          <w:kern w:val="0"/>
          <w:sz w:val="32"/>
          <w:szCs w:val="32"/>
          <w:highlight w:val="none"/>
          <w:lang w:bidi="ar"/>
        </w:rPr>
      </w:pPr>
    </w:p>
    <w:p>
      <w:pPr>
        <w:pStyle w:val="12"/>
        <w:spacing w:before="240"/>
        <w:jc w:val="left"/>
        <w:rPr>
          <w:rFonts w:hint="eastAsia" w:ascii="宋体" w:hAnsi="宋体" w:cs="宋体"/>
          <w:b/>
          <w:color w:val="auto"/>
          <w:kern w:val="0"/>
          <w:sz w:val="32"/>
          <w:szCs w:val="32"/>
          <w:highlight w:val="none"/>
          <w:lang w:bidi="ar"/>
        </w:rPr>
        <w:sectPr>
          <w:pgSz w:w="11906" w:h="16838"/>
          <w:pgMar w:top="1418" w:right="1418" w:bottom="1418" w:left="1418" w:header="851" w:footer="992" w:gutter="0"/>
          <w:pgNumType w:start="29"/>
          <w:cols w:space="720" w:num="1"/>
          <w:docGrid w:type="lines" w:linePitch="312" w:charSpace="0"/>
        </w:sect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hint="eastAsia" w:ascii="宋体" w:hAnsi="宋体" w:cs="宋体"/>
          <w:b/>
          <w:color w:val="auto"/>
          <w:kern w:val="0"/>
          <w:sz w:val="32"/>
          <w:szCs w:val="32"/>
          <w:highlight w:val="none"/>
          <w:lang w:bidi="ar"/>
        </w:rPr>
      </w:pPr>
    </w:p>
    <w:p>
      <w:pPr>
        <w:pStyle w:val="12"/>
        <w:spacing w:before="240"/>
        <w:jc w:val="center"/>
        <w:rPr>
          <w:rFonts w:cs="Angsana New"/>
          <w:b/>
          <w:color w:val="auto"/>
          <w:kern w:val="0"/>
          <w:sz w:val="32"/>
          <w:szCs w:val="32"/>
          <w:highlight w:val="none"/>
        </w:rPr>
      </w:pPr>
      <w:r>
        <w:rPr>
          <w:rFonts w:hint="eastAsia" w:ascii="宋体" w:hAnsi="宋体" w:cs="宋体"/>
          <w:b/>
          <w:color w:val="auto"/>
          <w:kern w:val="0"/>
          <w:sz w:val="32"/>
          <w:szCs w:val="32"/>
          <w:highlight w:val="none"/>
          <w:lang w:bidi="ar"/>
        </w:rPr>
        <w:t>三、技术文件</w:t>
      </w:r>
    </w:p>
    <w:p>
      <w:pPr>
        <w:pStyle w:val="12"/>
        <w:spacing w:before="240"/>
        <w:jc w:val="center"/>
        <w:rPr>
          <w:rFonts w:cs="Angsana New"/>
          <w:b/>
          <w:color w:val="auto"/>
          <w:kern w:val="0"/>
          <w:sz w:val="32"/>
          <w:szCs w:val="32"/>
          <w:highlight w:val="none"/>
        </w:rPr>
      </w:pPr>
      <w:r>
        <w:rPr>
          <w:rFonts w:cs="Angsana New"/>
          <w:b/>
          <w:color w:val="auto"/>
          <w:kern w:val="0"/>
          <w:sz w:val="32"/>
          <w:szCs w:val="32"/>
          <w:highlight w:val="none"/>
          <w:lang w:bidi="ar"/>
        </w:rPr>
        <w:t xml:space="preserve"> </w:t>
      </w:r>
    </w:p>
    <w:p>
      <w:pPr>
        <w:pStyle w:val="12"/>
        <w:spacing w:before="240"/>
        <w:jc w:val="center"/>
        <w:rPr>
          <w:rFonts w:cs="Angsana New"/>
          <w:b/>
          <w:color w:val="auto"/>
          <w:kern w:val="0"/>
          <w:sz w:val="32"/>
          <w:szCs w:val="32"/>
          <w:highlight w:val="none"/>
          <w:lang w:bidi="ar"/>
        </w:rPr>
        <w:sectPr>
          <w:footerReference r:id="rId17" w:type="default"/>
          <w:pgSz w:w="11906" w:h="16838"/>
          <w:pgMar w:top="1418" w:right="1418" w:bottom="1418" w:left="1418" w:header="851" w:footer="992" w:gutter="0"/>
          <w:pgNumType w:start="1"/>
          <w:cols w:space="720" w:num="1"/>
          <w:docGrid w:type="lines" w:linePitch="312" w:charSpace="0"/>
        </w:sectPr>
      </w:pPr>
    </w:p>
    <w:p>
      <w:pPr>
        <w:pStyle w:val="7"/>
        <w:spacing w:line="300" w:lineRule="auto"/>
        <w:outlineLvl w:val="0"/>
        <w:rPr>
          <w:rFonts w:hint="eastAsia"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9</w:t>
      </w:r>
    </w:p>
    <w:p>
      <w:pPr>
        <w:pStyle w:val="12"/>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1.技术响应表格式</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3969"/>
        <w:gridCol w:w="3544"/>
        <w:gridCol w:w="7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项号</w:t>
            </w:r>
          </w:p>
        </w:tc>
        <w:tc>
          <w:tcPr>
            <w:tcW w:w="850"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名称</w:t>
            </w: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eastAsia" w:ascii="Times New Roman" w:hAnsi="Times New Roman" w:cs="Times New Roman"/>
                <w:bCs/>
                <w:color w:val="auto"/>
                <w:kern w:val="0"/>
                <w:sz w:val="20"/>
                <w:szCs w:val="20"/>
                <w:highlight w:val="none"/>
                <w:lang w:bidi="ar"/>
              </w:rPr>
              <w:t>项目服务</w:t>
            </w:r>
            <w:r>
              <w:rPr>
                <w:rFonts w:hint="default" w:ascii="Times New Roman" w:hAnsi="Times New Roman" w:cs="Times New Roman"/>
                <w:bCs/>
                <w:color w:val="auto"/>
                <w:kern w:val="0"/>
                <w:sz w:val="20"/>
                <w:szCs w:val="20"/>
                <w:highlight w:val="none"/>
                <w:lang w:bidi="ar"/>
              </w:rPr>
              <w:t>竞标要求</w:t>
            </w: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eastAsia" w:ascii="Times New Roman" w:hAnsi="Times New Roman" w:cs="Times New Roman"/>
                <w:b/>
                <w:color w:val="auto"/>
                <w:kern w:val="0"/>
                <w:sz w:val="20"/>
                <w:szCs w:val="20"/>
                <w:highlight w:val="none"/>
              </w:rPr>
            </w:pPr>
            <w:r>
              <w:rPr>
                <w:rFonts w:hint="eastAsia" w:ascii="Times New Roman" w:hAnsi="Times New Roman" w:cs="Times New Roman"/>
                <w:b/>
                <w:color w:val="auto"/>
                <w:kern w:val="0"/>
                <w:sz w:val="20"/>
                <w:szCs w:val="20"/>
                <w:highlight w:val="none"/>
              </w:rPr>
              <w:t>项目服务响应内容</w:t>
            </w: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1</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1"/>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4" w:type="dxa"/>
            <w:vMerge w:val="restart"/>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jc w:val="center"/>
              <w:rPr>
                <w:rFonts w:hint="eastAsia" w:ascii="宋体" w:hAnsi="宋体" w:cs="宋体"/>
                <w:color w:val="auto"/>
                <w:szCs w:val="21"/>
                <w:highlight w:val="none"/>
              </w:rPr>
            </w:pPr>
            <w:r>
              <w:rPr>
                <w:rFonts w:hint="eastAsia" w:ascii="宋体" w:hAnsi="宋体" w:cs="宋体"/>
                <w:color w:val="auto"/>
                <w:szCs w:val="21"/>
                <w:highlight w:val="none"/>
                <w:lang w:bidi="ar"/>
              </w:rPr>
              <w:t>2</w:t>
            </w: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jc w:val="center"/>
              <w:rPr>
                <w:rFonts w:hint="default" w:ascii="Times New Roman" w:hAnsi="Times New Roman" w:cs="Times New Roman"/>
                <w:bCs/>
                <w:color w:val="auto"/>
                <w:kern w:val="0"/>
                <w:sz w:val="20"/>
                <w:szCs w:val="20"/>
                <w:highlight w:val="none"/>
              </w:rPr>
            </w:pPr>
            <w:r>
              <w:rPr>
                <w:rFonts w:hint="default" w:ascii="Times New Roman" w:hAnsi="Times New Roman" w:cs="Times New Roman"/>
                <w:bCs/>
                <w:color w:val="auto"/>
                <w:kern w:val="0"/>
                <w:sz w:val="20"/>
                <w:szCs w:val="20"/>
                <w:highlight w:val="none"/>
                <w:lang w:bidi="ar"/>
              </w:rPr>
              <w:t>偏离</w:t>
            </w:r>
            <w:r>
              <w:rPr>
                <w:rFonts w:hint="eastAsia" w:ascii="Times New Roman" w:hAnsi="Times New Roman" w:cs="Times New Roman"/>
                <w:bCs/>
                <w:color w:val="auto"/>
                <w:kern w:val="0"/>
                <w:sz w:val="20"/>
                <w:szCs w:val="20"/>
                <w:highlight w:val="none"/>
                <w:lang w:bidi="ar"/>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0" w:beforeAutospacing="0" w:after="0" w:afterAutospacing="0" w:line="240" w:lineRule="atLeast"/>
              <w:ind w:left="0" w:right="0" w:firstLine="400" w:firstLineChars="200"/>
              <w:rPr>
                <w:rFonts w:hint="eastAsia" w:ascii="宋体" w:hAnsi="Courier New" w:cs="Courier New"/>
                <w:color w:val="auto"/>
                <w:kern w:val="0"/>
                <w:sz w:val="20"/>
                <w:szCs w:val="20"/>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34" w:type="dxa"/>
            <w:vMerge w:val="continue"/>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50"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969" w:type="dxa"/>
            <w:tcBorders>
              <w:top w:val="single" w:color="auto" w:sz="4" w:space="0"/>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40" w:lineRule="atLeast"/>
              <w:ind w:left="0" w:right="0"/>
              <w:rPr>
                <w:rFonts w:hint="eastAsia" w:ascii="宋体" w:hAnsi="宋体" w:cs="宋体"/>
                <w:color w:val="auto"/>
                <w:szCs w:val="21"/>
                <w:highlight w:val="none"/>
              </w:rPr>
            </w:pPr>
          </w:p>
        </w:tc>
        <w:tc>
          <w:tcPr>
            <w:tcW w:w="3544"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c>
          <w:tcPr>
            <w:tcW w:w="735" w:type="dxa"/>
            <w:tcBorders>
              <w:top w:val="single" w:color="auto" w:sz="4" w:space="0"/>
              <w:left w:val="nil"/>
              <w:bottom w:val="single" w:color="auto" w:sz="4" w:space="0"/>
              <w:right w:val="single" w:color="auto" w:sz="4" w:space="0"/>
            </w:tcBorders>
            <w:noWrap w:val="0"/>
            <w:vAlign w:val="center"/>
          </w:tcPr>
          <w:p>
            <w:pPr>
              <w:pStyle w:val="12"/>
              <w:keepNext w:val="0"/>
              <w:keepLines w:val="0"/>
              <w:suppressLineNumbers w:val="0"/>
              <w:spacing w:before="240" w:beforeAutospacing="0" w:after="0" w:afterAutospacing="0" w:line="240" w:lineRule="atLeast"/>
              <w:ind w:left="0" w:right="0"/>
              <w:jc w:val="center"/>
              <w:rPr>
                <w:rFonts w:hint="default" w:ascii="Times New Roman" w:hAnsi="Times New Roman" w:cs="Times New Roman"/>
                <w:b/>
                <w:color w:val="auto"/>
                <w:kern w:val="0"/>
                <w:sz w:val="20"/>
                <w:szCs w:val="20"/>
                <w:highlight w:val="none"/>
              </w:rPr>
            </w:pPr>
          </w:p>
        </w:tc>
      </w:tr>
    </w:tbl>
    <w:p>
      <w:pPr>
        <w:pStyle w:val="12"/>
        <w:spacing w:line="240" w:lineRule="atLeast"/>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2"/>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2"/>
        <w:spacing w:line="240" w:lineRule="atLeast"/>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spacing w:line="240" w:lineRule="atLeast"/>
        <w:rPr>
          <w:rFonts w:ascii="宋体" w:hAnsi="宋体" w:cs="宋体"/>
          <w:b/>
          <w:color w:val="auto"/>
          <w:kern w:val="0"/>
          <w:sz w:val="20"/>
          <w:szCs w:val="20"/>
          <w:highlight w:val="none"/>
          <w:lang w:bidi="ar"/>
        </w:rPr>
      </w:pPr>
      <w:r>
        <w:rPr>
          <w:rFonts w:hint="eastAsia" w:ascii="宋体" w:hAnsi="宋体" w:cs="宋体"/>
          <w:b/>
          <w:color w:val="auto"/>
          <w:kern w:val="0"/>
          <w:sz w:val="20"/>
          <w:szCs w:val="20"/>
          <w:highlight w:val="none"/>
          <w:lang w:bidi="ar"/>
        </w:rPr>
        <w:t>注：</w:t>
      </w:r>
    </w:p>
    <w:p>
      <w:pPr>
        <w:pStyle w:val="12"/>
        <w:spacing w:line="240" w:lineRule="atLeast"/>
        <w:rPr>
          <w:rFonts w:cs="Angsana New"/>
          <w:b/>
          <w:color w:val="auto"/>
          <w:kern w:val="0"/>
          <w:sz w:val="20"/>
          <w:szCs w:val="20"/>
          <w:highlight w:val="none"/>
        </w:rPr>
      </w:pPr>
      <w:r>
        <w:rPr>
          <w:rFonts w:hint="eastAsia" w:ascii="宋体" w:hAnsi="宋体" w:cs="宋体"/>
          <w:b/>
          <w:color w:val="auto"/>
          <w:kern w:val="0"/>
          <w:sz w:val="20"/>
          <w:szCs w:val="20"/>
          <w:highlight w:val="none"/>
          <w:lang w:bidi="ar"/>
        </w:rPr>
        <w:t>根据第二章</w:t>
      </w:r>
      <w:r>
        <w:rPr>
          <w:rFonts w:ascii="宋体" w:hAnsi="宋体" w:cs="宋体"/>
          <w:b/>
          <w:color w:val="auto"/>
          <w:kern w:val="0"/>
          <w:sz w:val="20"/>
          <w:szCs w:val="20"/>
          <w:highlight w:val="none"/>
          <w:lang w:bidi="ar"/>
        </w:rPr>
        <w:t xml:space="preserve"> </w:t>
      </w:r>
      <w:r>
        <w:rPr>
          <w:rFonts w:hint="eastAsia" w:ascii="宋体" w:hAnsi="宋体" w:cs="宋体"/>
          <w:b/>
          <w:color w:val="auto"/>
          <w:kern w:val="0"/>
          <w:sz w:val="20"/>
          <w:szCs w:val="20"/>
          <w:highlight w:val="none"/>
          <w:lang w:bidi="ar"/>
        </w:rPr>
        <w:t>项目服务要求的项目服务内容填写：</w:t>
      </w:r>
    </w:p>
    <w:p>
      <w:pPr>
        <w:pStyle w:val="12"/>
        <w:spacing w:line="240" w:lineRule="atLeast"/>
        <w:ind w:left="420"/>
        <w:rPr>
          <w:rFonts w:hint="eastAsia" w:ascii="宋体" w:hAnsi="宋体" w:cs="Angsana New"/>
          <w:bCs/>
          <w:color w:val="auto"/>
          <w:kern w:val="0"/>
          <w:sz w:val="20"/>
          <w:szCs w:val="20"/>
          <w:highlight w:val="none"/>
        </w:rPr>
      </w:pPr>
      <w:r>
        <w:rPr>
          <w:rFonts w:hint="eastAsia" w:ascii="宋体" w:hAnsi="宋体" w:cs="宋体"/>
          <w:bCs/>
          <w:color w:val="auto"/>
          <w:kern w:val="0"/>
          <w:sz w:val="20"/>
          <w:szCs w:val="20"/>
          <w:highlight w:val="none"/>
          <w:lang w:bidi="ar"/>
        </w:rPr>
        <w:t>1、项目服务响应内容与竞标要求相同的为无偏离，项目服务响应内容高于竞标要求的为正偏离，低于竞标要求的为负偏离。</w:t>
      </w:r>
    </w:p>
    <w:p>
      <w:pPr>
        <w:pStyle w:val="12"/>
        <w:spacing w:line="240" w:lineRule="atLeast"/>
        <w:ind w:left="420"/>
        <w:rPr>
          <w:rFonts w:ascii="宋体" w:hAnsi="宋体" w:cs="宋体"/>
          <w:color w:val="auto"/>
          <w:kern w:val="0"/>
          <w:sz w:val="20"/>
          <w:szCs w:val="20"/>
          <w:highlight w:val="none"/>
          <w:lang w:bidi="ar"/>
        </w:rPr>
      </w:pPr>
      <w:r>
        <w:rPr>
          <w:rFonts w:hint="eastAsia" w:ascii="宋体" w:hAnsi="宋体" w:cs="宋体"/>
          <w:bCs/>
          <w:color w:val="auto"/>
          <w:kern w:val="0"/>
          <w:sz w:val="20"/>
          <w:szCs w:val="20"/>
          <w:highlight w:val="none"/>
          <w:lang w:bidi="ar"/>
        </w:rPr>
        <w:t>2、</w:t>
      </w:r>
      <w:r>
        <w:rPr>
          <w:rFonts w:hint="eastAsia" w:ascii="宋体" w:hAnsi="宋体" w:cs="宋体"/>
          <w:color w:val="auto"/>
          <w:kern w:val="0"/>
          <w:sz w:val="20"/>
          <w:szCs w:val="20"/>
          <w:highlight w:val="none"/>
          <w:lang w:bidi="ar"/>
        </w:rPr>
        <w:t>供应商应根据自身情况对照采购文件文件要求在“偏离情况”栏注明“正偏离”、“负偏离”或“无偏离”。</w:t>
      </w:r>
    </w:p>
    <w:p>
      <w:pPr>
        <w:pStyle w:val="12"/>
        <w:spacing w:line="240" w:lineRule="atLeast"/>
        <w:ind w:left="420"/>
        <w:rPr>
          <w:rFonts w:hint="eastAsia" w:ascii="宋体" w:hAnsi="宋体" w:cs="Angsana New"/>
          <w:bCs/>
          <w:color w:val="auto"/>
          <w:kern w:val="0"/>
          <w:sz w:val="20"/>
          <w:szCs w:val="20"/>
          <w:highlight w:val="none"/>
        </w:rPr>
      </w:pPr>
    </w:p>
    <w:p>
      <w:pPr>
        <w:pStyle w:val="7"/>
        <w:spacing w:line="300" w:lineRule="auto"/>
        <w:outlineLvl w:val="0"/>
        <w:rPr>
          <w:rFonts w:hint="eastAsia" w:ascii="Times New Roman" w:hAnsi="Times New Roman"/>
          <w:b/>
          <w:color w:val="auto"/>
          <w:highlight w:val="none"/>
        </w:rPr>
        <w:sectPr>
          <w:footerReference r:id="rId18" w:type="default"/>
          <w:pgSz w:w="11906" w:h="16838"/>
          <w:pgMar w:top="1418" w:right="1418" w:bottom="1418" w:left="1418" w:header="851" w:footer="992" w:gutter="0"/>
          <w:pgNumType w:start="34"/>
          <w:cols w:space="720" w:num="1"/>
          <w:docGrid w:type="lines" w:linePitch="312" w:charSpace="0"/>
        </w:sectPr>
      </w:pPr>
    </w:p>
    <w:p>
      <w:pPr>
        <w:pStyle w:val="7"/>
        <w:spacing w:line="300" w:lineRule="auto"/>
        <w:outlineLvl w:val="0"/>
        <w:rPr>
          <w:rFonts w:hint="eastAsia"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10</w:t>
      </w:r>
    </w:p>
    <w:p>
      <w:pPr>
        <w:pStyle w:val="12"/>
        <w:spacing w:before="240"/>
        <w:jc w:val="center"/>
        <w:rPr>
          <w:rFonts w:hint="eastAsia" w:ascii="宋体" w:hAnsi="宋体" w:cs="宋体"/>
          <w:b/>
          <w:color w:val="auto"/>
          <w:kern w:val="0"/>
          <w:sz w:val="30"/>
          <w:szCs w:val="30"/>
          <w:highlight w:val="none"/>
        </w:rPr>
      </w:pPr>
      <w:r>
        <w:rPr>
          <w:rFonts w:hint="eastAsia" w:ascii="宋体" w:hAnsi="宋体" w:cs="宋体"/>
          <w:b/>
          <w:color w:val="auto"/>
          <w:kern w:val="0"/>
          <w:sz w:val="30"/>
          <w:szCs w:val="30"/>
          <w:highlight w:val="none"/>
          <w:lang w:bidi="ar"/>
        </w:rPr>
        <w:t>2、服务承诺书格式</w:t>
      </w:r>
    </w:p>
    <w:p>
      <w:pPr>
        <w:pStyle w:val="12"/>
        <w:spacing w:before="240" w:line="360" w:lineRule="auto"/>
        <w:ind w:left="540" w:leftChars="257" w:right="998" w:rightChars="475" w:firstLine="400" w:firstLineChars="200"/>
        <w:jc w:val="center"/>
        <w:rPr>
          <w:rFonts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供应商盖公章：</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rPr>
          <w:rFonts w:cs="Angsana New"/>
          <w:color w:val="auto"/>
          <w:kern w:val="0"/>
          <w:sz w:val="20"/>
          <w:szCs w:val="20"/>
          <w:highlight w:val="none"/>
          <w:u w:val="single"/>
        </w:rPr>
      </w:pPr>
      <w:r>
        <w:rPr>
          <w:rFonts w:hint="eastAsia" w:ascii="宋体" w:hAnsi="宋体" w:cs="宋体"/>
          <w:color w:val="auto"/>
          <w:kern w:val="0"/>
          <w:sz w:val="20"/>
          <w:szCs w:val="20"/>
          <w:highlight w:val="none"/>
          <w:lang w:bidi="ar"/>
        </w:rPr>
        <w:t>法定代表人（负责人）或委托代理人签字：</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p>
    <w:p>
      <w:pPr>
        <w:pStyle w:val="12"/>
        <w:jc w:val="center"/>
        <w:rPr>
          <w:rFonts w:cs="Angsana New"/>
          <w:color w:val="auto"/>
          <w:kern w:val="0"/>
          <w:sz w:val="20"/>
          <w:szCs w:val="20"/>
          <w:highlight w:val="none"/>
          <w:u w:val="single"/>
        </w:rPr>
      </w:pPr>
      <w:r>
        <w:rPr>
          <w:rFonts w:cs="Angsana New"/>
          <w:color w:val="auto"/>
          <w:kern w:val="0"/>
          <w:sz w:val="20"/>
          <w:szCs w:val="20"/>
          <w:highlight w:val="none"/>
          <w:u w:val="single"/>
          <w:lang w:bidi="ar"/>
        </w:rPr>
        <w:t xml:space="preserve"> </w:t>
      </w:r>
    </w:p>
    <w:p>
      <w:pPr>
        <w:pStyle w:val="12"/>
        <w:rPr>
          <w:rFonts w:cs="Angsana New"/>
          <w:color w:val="auto"/>
          <w:kern w:val="0"/>
          <w:sz w:val="20"/>
          <w:szCs w:val="20"/>
          <w:highlight w:val="none"/>
          <w:u w:val="single"/>
          <w:lang w:bidi="ar"/>
        </w:rPr>
      </w:pPr>
      <w:r>
        <w:rPr>
          <w:rFonts w:hint="eastAsia" w:ascii="宋体" w:hAnsi="宋体" w:cs="宋体"/>
          <w:color w:val="auto"/>
          <w:kern w:val="0"/>
          <w:sz w:val="20"/>
          <w:szCs w:val="20"/>
          <w:highlight w:val="none"/>
          <w:lang w:bidi="ar"/>
        </w:rPr>
        <w:t>日期：</w:t>
      </w:r>
      <w:r>
        <w:rPr>
          <w:rFonts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hint="eastAsia" w:cs="Angsana New"/>
          <w:color w:val="auto"/>
          <w:kern w:val="0"/>
          <w:sz w:val="20"/>
          <w:szCs w:val="20"/>
          <w:highlight w:val="none"/>
          <w:u w:val="single"/>
          <w:lang w:bidi="ar"/>
        </w:rPr>
        <w:t xml:space="preserve"> </w:t>
      </w:r>
      <w:r>
        <w:rPr>
          <w:rFonts w:hint="eastAsia" w:ascii="宋体" w:hAnsi="宋体" w:cs="宋体"/>
          <w:color w:val="auto"/>
          <w:kern w:val="0"/>
          <w:sz w:val="20"/>
          <w:szCs w:val="20"/>
          <w:highlight w:val="none"/>
          <w:u w:val="single"/>
          <w:lang w:bidi="ar"/>
        </w:rPr>
        <w:t xml:space="preserve"> </w:t>
      </w:r>
      <w:r>
        <w:rPr>
          <w:rFonts w:cs="Angsana New"/>
          <w:color w:val="auto"/>
          <w:kern w:val="0"/>
          <w:sz w:val="20"/>
          <w:szCs w:val="20"/>
          <w:highlight w:val="none"/>
          <w:u w:val="single"/>
          <w:lang w:bidi="ar"/>
        </w:rPr>
        <w:t xml:space="preserve">                </w:t>
      </w:r>
    </w:p>
    <w:p>
      <w:pPr>
        <w:pStyle w:val="12"/>
        <w:rPr>
          <w:rFonts w:hint="eastAsia" w:cs="Angsana New"/>
          <w:color w:val="auto"/>
          <w:kern w:val="0"/>
          <w:sz w:val="20"/>
          <w:szCs w:val="20"/>
          <w:highlight w:val="none"/>
          <w:u w:val="single"/>
        </w:rPr>
      </w:pPr>
    </w:p>
    <w:p>
      <w:pPr>
        <w:pStyle w:val="7"/>
        <w:spacing w:line="300" w:lineRule="auto"/>
        <w:outlineLvl w:val="0"/>
        <w:rPr>
          <w:rFonts w:hint="eastAsia" w:ascii="Times New Roman" w:hAnsi="Times New Roman"/>
          <w:b/>
          <w:color w:val="auto"/>
          <w:highlight w:val="none"/>
        </w:rPr>
        <w:sectPr>
          <w:footerReference r:id="rId19" w:type="default"/>
          <w:pgSz w:w="11906" w:h="16838"/>
          <w:pgMar w:top="1418" w:right="1418" w:bottom="1418" w:left="1418" w:header="851" w:footer="992" w:gutter="0"/>
          <w:pgNumType w:start="35"/>
          <w:cols w:space="720" w:num="1"/>
          <w:docGrid w:type="lines" w:linePitch="312" w:charSpace="0"/>
        </w:sectPr>
      </w:pPr>
    </w:p>
    <w:p>
      <w:pPr>
        <w:pStyle w:val="7"/>
        <w:spacing w:line="300" w:lineRule="auto"/>
        <w:outlineLvl w:val="0"/>
        <w:rPr>
          <w:rFonts w:hint="eastAsia"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w:t>
      </w:r>
      <w:r>
        <w:rPr>
          <w:rFonts w:ascii="Times New Roman" w:hAnsi="Times New Roman" w:cs="Angsana New"/>
          <w:b/>
          <w:color w:val="auto"/>
          <w:sz w:val="30"/>
          <w:szCs w:val="30"/>
          <w:highlight w:val="none"/>
          <w:lang w:bidi="ar"/>
        </w:rPr>
        <w:t>11</w:t>
      </w:r>
    </w:p>
    <w:p>
      <w:pPr>
        <w:pStyle w:val="12"/>
        <w:spacing w:before="240"/>
        <w:jc w:val="center"/>
        <w:rPr>
          <w:rFonts w:hint="eastAsia" w:cs="Angsana New"/>
          <w:b/>
          <w:color w:val="auto"/>
          <w:kern w:val="0"/>
          <w:sz w:val="30"/>
          <w:szCs w:val="30"/>
          <w:highlight w:val="none"/>
        </w:rPr>
      </w:pPr>
      <w:r>
        <w:rPr>
          <w:b/>
          <w:color w:val="auto"/>
          <w:kern w:val="0"/>
          <w:sz w:val="30"/>
          <w:szCs w:val="30"/>
          <w:highlight w:val="none"/>
          <w:lang w:bidi="ar"/>
        </w:rPr>
        <w:t>3</w:t>
      </w:r>
      <w:r>
        <w:rPr>
          <w:rFonts w:hint="eastAsia" w:ascii="宋体" w:hAnsi="宋体" w:cs="宋体"/>
          <w:b/>
          <w:color w:val="auto"/>
          <w:kern w:val="0"/>
          <w:sz w:val="30"/>
          <w:szCs w:val="30"/>
          <w:highlight w:val="none"/>
          <w:lang w:bidi="ar"/>
        </w:rPr>
        <w:t>、技术方案</w:t>
      </w:r>
    </w:p>
    <w:p>
      <w:pPr>
        <w:pStyle w:val="12"/>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rPr>
      </w:pPr>
      <w:r>
        <w:rPr>
          <w:rFonts w:hint="eastAsia" w:cs="宋体"/>
          <w:b/>
          <w:color w:val="auto"/>
          <w:sz w:val="36"/>
          <w:szCs w:val="36"/>
          <w:highlight w:val="none"/>
          <w:lang w:bidi="ar"/>
        </w:rPr>
        <w:t xml:space="preserve"> </w:t>
      </w: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lang w:bidi="ar"/>
        </w:rPr>
      </w:pP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7"/>
        <w:spacing w:line="300" w:lineRule="auto"/>
        <w:outlineLvl w:val="0"/>
        <w:rPr>
          <w:rFonts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附件1</w:t>
      </w:r>
      <w:r>
        <w:rPr>
          <w:rFonts w:ascii="Times New Roman" w:hAnsi="Times New Roman" w:cs="Angsana New"/>
          <w:b/>
          <w:color w:val="auto"/>
          <w:sz w:val="30"/>
          <w:szCs w:val="30"/>
          <w:highlight w:val="none"/>
          <w:lang w:bidi="ar"/>
        </w:rPr>
        <w:t>2</w:t>
      </w:r>
    </w:p>
    <w:p>
      <w:pPr>
        <w:pStyle w:val="12"/>
        <w:spacing w:before="240"/>
        <w:jc w:val="center"/>
        <w:rPr>
          <w:rFonts w:hint="eastAsia" w:cs="Angsana New"/>
          <w:b/>
          <w:color w:val="auto"/>
          <w:kern w:val="0"/>
          <w:sz w:val="30"/>
          <w:szCs w:val="30"/>
          <w:highlight w:val="none"/>
        </w:rPr>
      </w:pPr>
      <w:r>
        <w:rPr>
          <w:b/>
          <w:color w:val="auto"/>
          <w:kern w:val="0"/>
          <w:sz w:val="30"/>
          <w:szCs w:val="30"/>
          <w:highlight w:val="none"/>
          <w:lang w:bidi="ar"/>
        </w:rPr>
        <w:t>4</w:t>
      </w:r>
      <w:r>
        <w:rPr>
          <w:rFonts w:hint="eastAsia" w:ascii="宋体" w:hAnsi="宋体" w:cs="宋体"/>
          <w:b/>
          <w:color w:val="auto"/>
          <w:kern w:val="0"/>
          <w:sz w:val="30"/>
          <w:szCs w:val="30"/>
          <w:highlight w:val="none"/>
          <w:lang w:bidi="ar"/>
        </w:rPr>
        <w:t>、实施方案</w:t>
      </w:r>
    </w:p>
    <w:p>
      <w:pPr>
        <w:pStyle w:val="12"/>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lang w:bidi="ar"/>
        </w:rPr>
      </w:pPr>
      <w:r>
        <w:rPr>
          <w:rFonts w:hint="eastAsia" w:cs="宋体"/>
          <w:b/>
          <w:color w:val="auto"/>
          <w:sz w:val="36"/>
          <w:szCs w:val="36"/>
          <w:highlight w:val="none"/>
          <w:lang w:bidi="ar"/>
        </w:rPr>
        <w:t xml:space="preserve"> </w:t>
      </w:r>
    </w:p>
    <w:p>
      <w:pPr>
        <w:pStyle w:val="2"/>
        <w:rPr>
          <w:rFonts w:hint="eastAsia"/>
          <w:color w:val="auto"/>
          <w:highlight w:val="none"/>
        </w:rPr>
      </w:pP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12"/>
        <w:spacing w:before="240"/>
        <w:jc w:val="left"/>
        <w:rPr>
          <w:rFonts w:cs="Angsana New"/>
          <w:b/>
          <w:color w:val="auto"/>
          <w:kern w:val="0"/>
          <w:sz w:val="30"/>
          <w:szCs w:val="30"/>
          <w:highlight w:val="none"/>
          <w:lang w:bidi="ar"/>
        </w:rPr>
      </w:pPr>
    </w:p>
    <w:p>
      <w:pPr>
        <w:pStyle w:val="7"/>
        <w:spacing w:line="300" w:lineRule="auto"/>
        <w:outlineLvl w:val="0"/>
        <w:rPr>
          <w:rFonts w:ascii="Times New Roman" w:hAnsi="Times New Roman" w:cs="Angsana New"/>
          <w:b/>
          <w:color w:val="auto"/>
          <w:sz w:val="30"/>
          <w:szCs w:val="30"/>
          <w:highlight w:val="none"/>
          <w:lang w:bidi="ar"/>
        </w:rPr>
      </w:pPr>
      <w:r>
        <w:rPr>
          <w:rFonts w:hint="eastAsia" w:ascii="Times New Roman" w:hAnsi="Times New Roman" w:cs="Angsana New"/>
          <w:b/>
          <w:color w:val="auto"/>
          <w:sz w:val="30"/>
          <w:szCs w:val="30"/>
          <w:highlight w:val="none"/>
          <w:lang w:bidi="ar"/>
        </w:rPr>
        <w:t>附件1</w:t>
      </w:r>
      <w:r>
        <w:rPr>
          <w:rFonts w:ascii="Times New Roman" w:hAnsi="Times New Roman" w:cs="Angsana New"/>
          <w:b/>
          <w:color w:val="auto"/>
          <w:sz w:val="30"/>
          <w:szCs w:val="30"/>
          <w:highlight w:val="none"/>
          <w:lang w:bidi="ar"/>
        </w:rPr>
        <w:t>3</w:t>
      </w:r>
    </w:p>
    <w:p>
      <w:pPr>
        <w:pStyle w:val="12"/>
        <w:spacing w:before="240"/>
        <w:jc w:val="center"/>
        <w:rPr>
          <w:rFonts w:hint="eastAsia" w:cs="Angsana New"/>
          <w:b/>
          <w:color w:val="auto"/>
          <w:kern w:val="0"/>
          <w:sz w:val="30"/>
          <w:szCs w:val="30"/>
          <w:highlight w:val="none"/>
        </w:rPr>
      </w:pPr>
      <w:r>
        <w:rPr>
          <w:b/>
          <w:color w:val="auto"/>
          <w:kern w:val="0"/>
          <w:sz w:val="30"/>
          <w:szCs w:val="30"/>
          <w:highlight w:val="none"/>
          <w:lang w:bidi="ar"/>
        </w:rPr>
        <w:t>5</w:t>
      </w:r>
      <w:r>
        <w:rPr>
          <w:rFonts w:hint="eastAsia" w:ascii="宋体" w:hAnsi="宋体" w:cs="宋体"/>
          <w:b/>
          <w:color w:val="auto"/>
          <w:kern w:val="0"/>
          <w:sz w:val="30"/>
          <w:szCs w:val="30"/>
          <w:highlight w:val="none"/>
          <w:lang w:bidi="ar"/>
        </w:rPr>
        <w:t>、</w:t>
      </w:r>
      <w:r>
        <w:rPr>
          <w:rFonts w:hint="eastAsia" w:ascii="宋体" w:hAnsi="宋体" w:cs="宋体"/>
          <w:b/>
          <w:color w:val="auto"/>
          <w:kern w:val="0"/>
          <w:sz w:val="30"/>
          <w:szCs w:val="30"/>
          <w:highlight w:val="none"/>
          <w:lang w:eastAsia="zh-CN" w:bidi="ar"/>
        </w:rPr>
        <w:t>售后服务</w:t>
      </w:r>
      <w:r>
        <w:rPr>
          <w:rFonts w:hint="eastAsia" w:ascii="宋体" w:hAnsi="宋体" w:cs="宋体"/>
          <w:b/>
          <w:color w:val="auto"/>
          <w:kern w:val="0"/>
          <w:sz w:val="30"/>
          <w:szCs w:val="30"/>
          <w:highlight w:val="none"/>
          <w:lang w:bidi="ar"/>
        </w:rPr>
        <w:t>方案</w:t>
      </w:r>
    </w:p>
    <w:p>
      <w:pPr>
        <w:pStyle w:val="12"/>
        <w:spacing w:before="240"/>
        <w:jc w:val="center"/>
        <w:rPr>
          <w:rFonts w:hint="eastAsia" w:cs="Angsana New"/>
          <w:b/>
          <w:color w:val="auto"/>
          <w:kern w:val="0"/>
          <w:sz w:val="30"/>
          <w:szCs w:val="3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rPr>
          <w:rFonts w:hint="eastAsia" w:cs="宋体"/>
          <w:b/>
          <w:color w:val="auto"/>
          <w:sz w:val="36"/>
          <w:szCs w:val="36"/>
          <w:highlight w:val="none"/>
          <w:lang w:bidi="ar"/>
        </w:rPr>
      </w:pPr>
      <w:r>
        <w:rPr>
          <w:rFonts w:hint="eastAsia" w:cs="宋体"/>
          <w:b/>
          <w:color w:val="auto"/>
          <w:sz w:val="36"/>
          <w:szCs w:val="36"/>
          <w:highlight w:val="none"/>
          <w:lang w:bidi="ar"/>
        </w:rPr>
        <w:t xml:space="preserve"> </w:t>
      </w: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lang w:bidi="ar"/>
        </w:rPr>
      </w:pPr>
    </w:p>
    <w:p>
      <w:pPr>
        <w:pStyle w:val="2"/>
        <w:rPr>
          <w:rFonts w:hint="eastAsia"/>
          <w:color w:val="auto"/>
          <w:highlight w:val="none"/>
        </w:rPr>
      </w:pPr>
    </w:p>
    <w:p>
      <w:pPr>
        <w:pStyle w:val="12"/>
        <w:jc w:val="center"/>
        <w:rPr>
          <w:rFonts w:cs="Angsana New"/>
          <w:color w:val="auto"/>
          <w:kern w:val="0"/>
          <w:sz w:val="20"/>
          <w:szCs w:val="20"/>
          <w:highlight w:val="none"/>
        </w:rPr>
      </w:pPr>
      <w:r>
        <w:rPr>
          <w:rFonts w:cs="Angsana New"/>
          <w:color w:val="auto"/>
          <w:kern w:val="0"/>
          <w:sz w:val="20"/>
          <w:szCs w:val="20"/>
          <w:highlight w:val="none"/>
          <w:lang w:bidi="ar"/>
        </w:rPr>
        <w:t xml:space="preserve"> </w:t>
      </w:r>
    </w:p>
    <w:p>
      <w:pPr>
        <w:outlineLvl w:val="0"/>
        <w:rPr>
          <w:rFonts w:cs="Angsana New"/>
          <w:b/>
          <w:color w:val="auto"/>
          <w:kern w:val="0"/>
          <w:sz w:val="30"/>
          <w:szCs w:val="30"/>
          <w:highlight w:val="none"/>
          <w:lang w:bidi="ar"/>
        </w:rPr>
      </w:pPr>
      <w:r>
        <w:rPr>
          <w:rFonts w:hint="eastAsia" w:cs="Angsana New"/>
          <w:b/>
          <w:color w:val="auto"/>
          <w:kern w:val="0"/>
          <w:sz w:val="30"/>
          <w:szCs w:val="30"/>
          <w:highlight w:val="none"/>
          <w:lang w:bidi="ar"/>
        </w:rPr>
        <w:t>附件1</w:t>
      </w:r>
      <w:r>
        <w:rPr>
          <w:rFonts w:cs="Angsana New"/>
          <w:b/>
          <w:color w:val="auto"/>
          <w:kern w:val="0"/>
          <w:sz w:val="30"/>
          <w:szCs w:val="30"/>
          <w:highlight w:val="none"/>
          <w:lang w:bidi="ar"/>
        </w:rPr>
        <w:t>4</w:t>
      </w:r>
    </w:p>
    <w:p>
      <w:pPr>
        <w:pStyle w:val="12"/>
        <w:spacing w:before="240"/>
        <w:jc w:val="center"/>
        <w:rPr>
          <w:rFonts w:hint="eastAsia" w:ascii="宋体" w:hAnsi="宋体" w:cs="Angsana New"/>
          <w:bCs/>
          <w:color w:val="auto"/>
          <w:kern w:val="0"/>
          <w:sz w:val="20"/>
          <w:szCs w:val="20"/>
          <w:highlight w:val="none"/>
          <w:lang w:bidi="ar"/>
        </w:rPr>
      </w:pPr>
    </w:p>
    <w:p>
      <w:pPr>
        <w:pStyle w:val="12"/>
        <w:spacing w:before="240"/>
        <w:jc w:val="center"/>
        <w:rPr>
          <w:rFonts w:hint="eastAsia" w:cs="Angsana New"/>
          <w:b/>
          <w:color w:val="auto"/>
          <w:kern w:val="0"/>
          <w:sz w:val="30"/>
          <w:szCs w:val="30"/>
          <w:highlight w:val="none"/>
        </w:rPr>
      </w:pPr>
      <w:r>
        <w:rPr>
          <w:rFonts w:hint="eastAsia" w:ascii="宋体" w:hAnsi="宋体" w:cs="宋体"/>
          <w:b/>
          <w:color w:val="auto"/>
          <w:kern w:val="0"/>
          <w:sz w:val="30"/>
          <w:szCs w:val="30"/>
          <w:highlight w:val="none"/>
          <w:lang w:bidi="ar"/>
        </w:rPr>
        <w:t>四、其他</w:t>
      </w:r>
    </w:p>
    <w:p>
      <w:pPr>
        <w:pStyle w:val="12"/>
        <w:spacing w:before="240"/>
        <w:jc w:val="center"/>
        <w:rPr>
          <w:rFonts w:hint="eastAsia" w:cs="Angsana New"/>
          <w:color w:val="auto"/>
          <w:kern w:val="0"/>
          <w:sz w:val="20"/>
          <w:szCs w:val="20"/>
          <w:highlight w:val="none"/>
        </w:rPr>
      </w:pPr>
      <w:r>
        <w:rPr>
          <w:rFonts w:hint="eastAsia" w:ascii="宋体" w:hAnsi="宋体" w:cs="宋体"/>
          <w:color w:val="auto"/>
          <w:kern w:val="0"/>
          <w:sz w:val="20"/>
          <w:szCs w:val="20"/>
          <w:highlight w:val="none"/>
          <w:lang w:bidi="ar"/>
        </w:rPr>
        <w:t>（由供应商根据项目要求、评定成交的标准及自身情况自行编写）</w:t>
      </w:r>
    </w:p>
    <w:p>
      <w:pPr>
        <w:pStyle w:val="12"/>
        <w:spacing w:before="240"/>
        <w:jc w:val="center"/>
        <w:rPr>
          <w:rFonts w:hint="eastAsia" w:cs="Angsana New"/>
          <w:color w:val="auto"/>
          <w:kern w:val="0"/>
          <w:sz w:val="20"/>
          <w:szCs w:val="20"/>
          <w:highlight w:val="none"/>
          <w:lang w:bidi="ar"/>
        </w:rPr>
      </w:pPr>
    </w:p>
    <w:p>
      <w:pPr>
        <w:pStyle w:val="12"/>
        <w:spacing w:before="240"/>
        <w:jc w:val="center"/>
        <w:rPr>
          <w:rFonts w:hint="eastAsia" w:cs="Angsana New"/>
          <w:color w:val="auto"/>
          <w:kern w:val="0"/>
          <w:sz w:val="20"/>
          <w:szCs w:val="20"/>
          <w:highlight w:val="none"/>
        </w:rPr>
      </w:pPr>
      <w:r>
        <w:rPr>
          <w:rFonts w:hint="eastAsia" w:cs="Angsana New"/>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ind w:left="420"/>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12"/>
        <w:spacing w:line="360" w:lineRule="auto"/>
        <w:rPr>
          <w:rFonts w:hint="eastAsia" w:ascii="宋体" w:hAnsi="宋体" w:cs="Angsana New"/>
          <w:bCs/>
          <w:color w:val="auto"/>
          <w:kern w:val="0"/>
          <w:sz w:val="20"/>
          <w:szCs w:val="20"/>
          <w:highlight w:val="none"/>
        </w:rPr>
      </w:pPr>
      <w:r>
        <w:rPr>
          <w:rFonts w:hint="eastAsia" w:ascii="宋体" w:hAnsi="宋体" w:cs="Angsana New"/>
          <w:bCs/>
          <w:color w:val="auto"/>
          <w:kern w:val="0"/>
          <w:sz w:val="20"/>
          <w:szCs w:val="20"/>
          <w:highlight w:val="none"/>
          <w:lang w:bidi="ar"/>
        </w:rPr>
        <w:t xml:space="preserve"> </w:t>
      </w:r>
    </w:p>
    <w:p>
      <w:pPr>
        <w:pStyle w:val="7"/>
        <w:spacing w:line="400" w:lineRule="exact"/>
        <w:rPr>
          <w:rFonts w:hint="eastAsia" w:ascii="仿宋_GB2312" w:hAnsi="仿宋_GB2312" w:eastAsia="仿宋_GB2312" w:cs="仿宋_GB2312"/>
          <w:color w:val="auto"/>
          <w:sz w:val="28"/>
          <w:szCs w:val="28"/>
          <w:highlight w:val="none"/>
        </w:rPr>
      </w:pPr>
    </w:p>
    <w:sectPr>
      <w:footerReference r:id="rId20" w:type="default"/>
      <w:pgSz w:w="11906" w:h="16838"/>
      <w:pgMar w:top="1418" w:right="1418" w:bottom="1418" w:left="1418" w:header="851" w:footer="992" w:gutter="0"/>
      <w:pgNumType w:start="3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5BA9EE5-F04E-4AAC-9870-7A85A00016F4}"/>
  </w:font>
  <w:font w:name="Courier New">
    <w:panose1 w:val="02070309020205020404"/>
    <w:charset w:val="01"/>
    <w:family w:val="modern"/>
    <w:pitch w:val="default"/>
    <w:sig w:usb0="E0002EFF" w:usb1="C0007843" w:usb2="00000009" w:usb3="00000000" w:csb0="400001FF" w:csb1="FFFF0000"/>
    <w:embedRegular r:id="rId2" w:fontKey="{AAA65971-049A-41F4-8ABA-76B7B9EC1A1F}"/>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embedRegular r:id="rId3" w:fontKey="{5A9CEDCE-B7E5-4F4F-B53F-E93F953F82ED}"/>
  </w:font>
  <w:font w:name="Microsoft Sans Serif">
    <w:panose1 w:val="020B0604020202020204"/>
    <w:charset w:val="00"/>
    <w:family w:val="auto"/>
    <w:pitch w:val="default"/>
    <w:sig w:usb0="E5002EFF" w:usb1="C000605B" w:usb2="00000029" w:usb3="00000000" w:csb0="200101FF" w:csb1="2028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方正小标宋简体">
    <w:panose1 w:val="02000000000000000000"/>
    <w:charset w:val="86"/>
    <w:family w:val="auto"/>
    <w:pitch w:val="default"/>
    <w:sig w:usb0="00000001" w:usb1="08000000" w:usb2="00000000" w:usb3="00000000" w:csb0="00040000" w:csb1="00000000"/>
    <w:embedRegular r:id="rId4" w:fontKey="{F9A665D3-05B2-4F86-9701-F295BACB028B}"/>
  </w:font>
  <w:font w:name="??_GB2312">
    <w:altName w:val="Arial Unicode MS"/>
    <w:panose1 w:val="00000000000000000000"/>
    <w:charset w:val="00"/>
    <w:family w:val="auto"/>
    <w:pitch w:val="default"/>
    <w:sig w:usb0="00000000" w:usb1="00000000" w:usb2="00000000" w:usb3="00000000" w:csb0="00040001" w:csb1="00000000"/>
    <w:embedRegular r:id="rId5" w:fontKey="{9A1E37C6-9078-40A4-9D7D-432D590A0AEC}"/>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embedRegular r:id="rId6" w:fontKey="{9D421CBC-9BF0-4668-A235-DD1B6DFBFC22}"/>
  </w:font>
  <w:font w:name="华文中宋">
    <w:panose1 w:val="02010600040101010101"/>
    <w:charset w:val="86"/>
    <w:family w:val="auto"/>
    <w:pitch w:val="default"/>
    <w:sig w:usb0="00000287" w:usb1="080F0000" w:usb2="00000000" w:usb3="00000000" w:csb0="0004009F" w:csb1="DFD70000"/>
    <w:embedRegular r:id="rId7" w:fontKey="{E6B372A4-91FF-4267-9196-BEC7583CF2D5}"/>
  </w:font>
  <w:font w:name="微软雅黑">
    <w:panose1 w:val="020B0503020204020204"/>
    <w:charset w:val="86"/>
    <w:family w:val="swiss"/>
    <w:pitch w:val="default"/>
    <w:sig w:usb0="80000287" w:usb1="2ACF3C50" w:usb2="00000016" w:usb3="00000000" w:csb0="0004001F" w:csb1="00000000"/>
    <w:embedRegular r:id="rId8" w:fontKey="{933D24B9-F9B9-463C-951C-A987AC688858}"/>
  </w:font>
  <w:font w:name="仿宋">
    <w:panose1 w:val="02010609060101010101"/>
    <w:charset w:val="86"/>
    <w:family w:val="modern"/>
    <w:pitch w:val="default"/>
    <w:sig w:usb0="800002BF" w:usb1="38CF7CFA" w:usb2="00000016" w:usb3="00000000" w:csb0="00040001" w:csb1="00000000"/>
    <w:embedRegular r:id="rId9" w:fontKey="{B1E88866-81DA-4671-825E-429769A342E6}"/>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c3lMkBAACaAwAADgAAAGRycy9lMm9Eb2MueG1srVPNjtMwEL4j8Q6W&#10;79Rph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M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k5zeU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33</w:t>
                          </w:r>
                          <w:r>
                            <w:rPr>
                              <w:lang w:val="zh-CN"/>
                            </w:rPr>
                            <w:fldChar w:fldCharType="end"/>
                          </w:r>
                        </w:p>
                      </w:txbxContent>
                    </wps:txbx>
                    <wps:bodyPr wrap="none" lIns="0" tIns="0" rIns="0" bIns="0" upright="0">
                      <a:spAutoFit/>
                    </wps:bodyPr>
                  </wps:wsp>
                </a:graphicData>
              </a:graphic>
            </wp:anchor>
          </w:drawing>
        </mc:Choice>
        <mc:Fallback>
          <w:pict>
            <v:shape id="文本框 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vENbhyQEAAJoDAAAOAAAAAAAAAAEAIAAAAB4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33</w:t>
                    </w:r>
                    <w:r>
                      <w:rPr>
                        <w:lang w:val="zh-CN"/>
                      </w:rPr>
                      <w:fldChar w:fldCharType="end"/>
                    </w:r>
                  </w:p>
                </w:txbxContent>
              </v:textbox>
            </v:shape>
          </w:pict>
        </mc:Fallback>
      </mc:AlternateContent>
    </w:r>
  </w:p>
  <w:p>
    <w:pPr>
      <w:pStyle w:val="9"/>
      <w:ind w:right="360"/>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34</w:t>
                          </w:r>
                          <w:r>
                            <w:rPr>
                              <w:lang w:val="zh-CN"/>
                            </w:rPr>
                            <w:fldChar w:fldCharType="end"/>
                          </w:r>
                        </w:p>
                      </w:txbxContent>
                    </wps:txbx>
                    <wps:bodyPr wrap="none" lIns="0" tIns="0" rIns="0" bIns="0" upright="0">
                      <a:spAutoFit/>
                    </wps:bodyPr>
                  </wps:wsp>
                </a:graphicData>
              </a:graphic>
            </wp:anchor>
          </w:drawing>
        </mc:Choice>
        <mc:Fallback>
          <w:pict>
            <v:shape id="文本框 20"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MrfPNrIAQAAmwMAAA4AAAAAAAAAAQAgAAAAHgEAAGRycy9lMm9Eb2Mu&#10;eG1sUEsFBgAAAAAGAAYAWQEAAFgFA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34</w:t>
                    </w:r>
                    <w:r>
                      <w:rPr>
                        <w:lang w:val="zh-CN"/>
                      </w:rPr>
                      <w:fldChar w:fldCharType="end"/>
                    </w:r>
                  </w:p>
                </w:txbxContent>
              </v:textbox>
            </v:shape>
          </w:pict>
        </mc:Fallback>
      </mc:AlternateContent>
    </w:r>
  </w:p>
  <w:p>
    <w:pPr>
      <w:pStyle w:val="9"/>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35</w:t>
                          </w:r>
                          <w:r>
                            <w:rPr>
                              <w:lang w:val="zh-CN"/>
                            </w:rPr>
                            <w:fldChar w:fldCharType="end"/>
                          </w:r>
                        </w:p>
                      </w:txbxContent>
                    </wps:txbx>
                    <wps:bodyPr wrap="none" lIns="0" tIns="0" rIns="0" bIns="0" upright="0">
                      <a:spAutoFit/>
                    </wps:bodyPr>
                  </wps:wsp>
                </a:graphicData>
              </a:graphic>
            </wp:anchor>
          </w:drawing>
        </mc:Choice>
        <mc:Fallback>
          <w:pict>
            <v:shape id="文本框 21"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Y0TKPyQEAAJsDAAAOAAAAAAAAAAEAIAAAAB4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35</w:t>
                    </w:r>
                    <w:r>
                      <w:rPr>
                        <w:lang w:val="zh-CN"/>
                      </w:rPr>
                      <w:fldChar w:fldCharType="end"/>
                    </w:r>
                  </w:p>
                </w:txbxContent>
              </v:textbox>
            </v:shape>
          </w:pict>
        </mc:Fallback>
      </mc:AlternateContent>
    </w:r>
  </w:p>
  <w:p>
    <w:pPr>
      <w:pStyle w:val="9"/>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40</w:t>
                          </w:r>
                          <w:r>
                            <w:rPr>
                              <w:lang w:val="zh-CN"/>
                            </w:rPr>
                            <w:fldChar w:fldCharType="end"/>
                          </w:r>
                        </w:p>
                      </w:txbxContent>
                    </wps:txbx>
                    <wps:bodyPr wrap="none" lIns="0" tIns="0" rIns="0" bIns="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DZfPckBAACbAwAADgAAAGRycy9lMm9Eb2MueG1srVPNjtMwEL4j8Q6W&#10;79Rpk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VhS4rjFiV++f7v8+HX5+ZWs&#10;XmeB+gA15j0EzEzDnR8wefYDOjPvQUWbv8iIYBzlPV/llUMiIj9ar9brCkMCY/MF8dnj8xAhvZXe&#10;kmw0NOL8iqz89B7SmDqn5GrO32tjygyN+8uBmNnDcu9jj9lKw36YCO19e0Y+PY6+oQ43nRLzzqGy&#10;eUtmI87GfjaOIepDV9Yo14Nwe0zYROktVxhhp8I4s8Ju2q+8FH/eS9bjP7X9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gNl89yQEAAJsDAAAOAAAAAAAAAAEAIAAAAB4BAABkcnMvZTJvRG9j&#10;LnhtbFBLBQYAAAAABgAGAFkBAABZBQ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40</w:t>
                    </w:r>
                    <w:r>
                      <w:rPr>
                        <w:lang w:val="zh-CN"/>
                      </w:rPr>
                      <w:fldChar w:fldCharType="end"/>
                    </w:r>
                  </w:p>
                </w:txbxContent>
              </v:textbox>
            </v:shape>
          </w:pict>
        </mc:Fallback>
      </mc:AlternateContent>
    </w:r>
  </w:p>
  <w:p>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5082"/>
        <w:tab w:val="clear" w:pos="4153"/>
      </w:tabs>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g5Uc8kBAACa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pt6GtKHLc48Mv3b5cfvy4/v5Ll&#10;KuvTB6gx7SFgYhru/IBbM/sBnZn2oKLNXyREMI7qnq/qyiERkR+tV+t1hSGBsfmC+OzxeYiQ3kpv&#10;STYaGnF8RVV+eg9pTJ1TcjXn77UxZYTG/eVAzOxhufexx2ylYT9MhPa+PSOfHiffUIeLTol551DY&#10;vCSzEWdjPxvHEPWhK1uU60G4PSZsovSWK4ywU2EcWWE3rVfeiT/vJevx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ODlRz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wrap="none" lIns="0" tIns="0" rIns="0" bIns="0" upright="0">
                      <a:spAutoFit/>
                    </wps:bodyPr>
                  </wps:wsp>
                </a:graphicData>
              </a:graphic>
            </wp:anchor>
          </w:drawing>
        </mc:Choice>
        <mc:Fallback>
          <w:pict>
            <v:shape id="文本框 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iPBWUyQEAAJk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YMgBAACZ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i2oUtKHLc48PP3b+cfv84/v5LX&#10;WZ4+QI1ZjwHz0vDWD7g0sx/QmVkPKtr8RT4E4yju6SKuHBIR+dFquVpVGBIYmy+Iz56ehwjpQXpL&#10;stHQiNMrovLje0hj6pySqzl/r40pEzTuLwdiZg/LvY89ZisNu2EitPPtCfn0OPiGOtxzSsw7h7rm&#10;HZmNOBu72TiEqPddWaJcD8KbQ8ImSm+5wgg7FcaJFXbTduWV+PNesp7+qM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P/uSGDIAQAAmQMAAA4AAAAAAAAAAQAgAAAAHgEAAGRycy9lMm9Eb2Mu&#10;eG1sUEsFBgAAAAAGAAYAWQEAAFgFA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Vl8cBAACa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LahLylx3OLAL9+/XX78uvz8SpZF&#10;nz5AjWkPARPT8MYPuDVZt+wHdGbag4o2f5EQwTiqe76qK4dERH60Xq3XFYYExuYL4rDb8xAhvZXe&#10;kmw0NOL4iqr89B7SmDqn5GrO32tjygiN+8uBmNnDbj1mKw37YWp879sz8ulx8g11uOiUmHcOhc1L&#10;MhtxNvazcQxRH7qyRbkehNfHhE2U3nKFEXYqjCMr7Kb1yjvx571k3X6p7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VkVl8cBAACaAwAADgAAAAAAAAABACAAAAAeAQAAZHJzL2Uyb0RvYy54&#10;bWxQSwUGAAAAAAYABgBZAQAAVwU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18</w:t>
                    </w:r>
                    <w:r>
                      <w:rPr>
                        <w:rFonts w:hint="eastAsia"/>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33</w:t>
                    </w:r>
                    <w:r>
                      <w:rPr>
                        <w:rFonts w:hint="eastAsia"/>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pPr>
                      <w:pStyle w:val="9"/>
                      <w:rPr>
                        <w:rFonts w:hint="eastAsia"/>
                      </w:rPr>
                    </w:pPr>
                    <w:r>
                      <w:rPr>
                        <w:rFonts w:hint="eastAsia"/>
                      </w:rPr>
                      <w:fldChar w:fldCharType="begin"/>
                    </w:r>
                    <w:r>
                      <w:rPr>
                        <w:rFonts w:hint="eastAsia"/>
                      </w:rPr>
                      <w:instrText xml:space="preserve"> PAGE  \* MERGEFORMAT </w:instrText>
                    </w:r>
                    <w:r>
                      <w:rPr>
                        <w:rFonts w:hint="eastAsia"/>
                      </w:rPr>
                      <w:fldChar w:fldCharType="separate"/>
                    </w:r>
                    <w:r>
                      <w:t>24</w:t>
                    </w:r>
                    <w:r>
                      <w:rPr>
                        <w:rFonts w:hint="eastAsia"/>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pPr>
                          <w:r>
                            <w:fldChar w:fldCharType="begin"/>
                          </w:r>
                          <w:r>
                            <w:instrText xml:space="preserve"> PAGE   \* MERGEFORMAT </w:instrText>
                          </w:r>
                          <w:r>
                            <w:fldChar w:fldCharType="separate"/>
                          </w:r>
                          <w:r>
                            <w:rPr>
                              <w:lang w:val="zh-CN"/>
                            </w:rPr>
                            <w:t>26</w:t>
                          </w:r>
                          <w:r>
                            <w:rPr>
                              <w:lang w:val="zh-CN"/>
                            </w:rPr>
                            <w:fldChar w:fldCharType="end"/>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pPr>
                      <w:pStyle w:val="9"/>
                      <w:jc w:val="center"/>
                    </w:pPr>
                    <w:r>
                      <w:fldChar w:fldCharType="begin"/>
                    </w:r>
                    <w:r>
                      <w:instrText xml:space="preserve"> PAGE   \* MERGEFORMAT </w:instrText>
                    </w:r>
                    <w:r>
                      <w:fldChar w:fldCharType="separate"/>
                    </w:r>
                    <w:r>
                      <w:rPr>
                        <w:lang w:val="zh-CN"/>
                      </w:rPr>
                      <w:t>26</w:t>
                    </w:r>
                    <w:r>
                      <w:rPr>
                        <w:lang w:val="zh-CN"/>
                      </w:rPr>
                      <w:fldChar w:fldCharType="end"/>
                    </w:r>
                  </w:p>
                </w:txbxContent>
              </v:textbox>
            </v:shape>
          </w:pict>
        </mc:Fallback>
      </mc:AlternateContent>
    </w:r>
  </w:p>
  <w:p>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项目名称：客服热线系统服务项目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spacing w:line="520" w:lineRule="exact"/>
      <w:rPr>
        <w:rFonts w:ascii="??_GB2312" w:eastAsia="仿宋_GB2312"/>
        <w:sz w:val="22"/>
        <w:szCs w:val="22"/>
      </w:rPr>
    </w:pPr>
    <w:r>
      <w:rPr>
        <w:rFonts w:hint="eastAsia" w:ascii="仿宋_GB2312" w:hAnsi="仿宋_GB2312" w:eastAsia="仿宋_GB2312" w:cs="仿宋_GB2312"/>
        <w:sz w:val="22"/>
        <w:szCs w:val="22"/>
      </w:rPr>
      <w:t>项目名称：客服热线系统服务项目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EAF733"/>
    <w:multiLevelType w:val="singleLevel"/>
    <w:tmpl w:val="9FEAF733"/>
    <w:lvl w:ilvl="0" w:tentative="0">
      <w:start w:val="1"/>
      <w:numFmt w:val="chineseCounting"/>
      <w:suff w:val="nothing"/>
      <w:lvlText w:val="%1、"/>
      <w:lvlJc w:val="left"/>
      <w:rPr>
        <w:rFonts w:hint="eastAsia"/>
      </w:rPr>
    </w:lvl>
  </w:abstractNum>
  <w:abstractNum w:abstractNumId="1">
    <w:nsid w:val="080D22EF"/>
    <w:multiLevelType w:val="singleLevel"/>
    <w:tmpl w:val="080D22EF"/>
    <w:lvl w:ilvl="0" w:tentative="0">
      <w:start w:val="1"/>
      <w:numFmt w:val="chineseCounting"/>
      <w:suff w:val="space"/>
      <w:lvlText w:val="第%1条"/>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HorizontalSpacing w:val="105"/>
  <w:drawingGridVerticalSpacing w:val="156"/>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59F"/>
    <w:rsid w:val="000004BF"/>
    <w:rsid w:val="000007D2"/>
    <w:rsid w:val="0000133B"/>
    <w:rsid w:val="00001E54"/>
    <w:rsid w:val="00002A5B"/>
    <w:rsid w:val="00006F31"/>
    <w:rsid w:val="00007C1A"/>
    <w:rsid w:val="00011544"/>
    <w:rsid w:val="00012634"/>
    <w:rsid w:val="00014418"/>
    <w:rsid w:val="000151D2"/>
    <w:rsid w:val="000159D8"/>
    <w:rsid w:val="00016825"/>
    <w:rsid w:val="00016EA8"/>
    <w:rsid w:val="00017A9C"/>
    <w:rsid w:val="00022E2D"/>
    <w:rsid w:val="0002313C"/>
    <w:rsid w:val="00023B4E"/>
    <w:rsid w:val="00024D6C"/>
    <w:rsid w:val="0002526A"/>
    <w:rsid w:val="00025357"/>
    <w:rsid w:val="00025A8A"/>
    <w:rsid w:val="00030C6E"/>
    <w:rsid w:val="00031803"/>
    <w:rsid w:val="00032530"/>
    <w:rsid w:val="0003254B"/>
    <w:rsid w:val="000339FA"/>
    <w:rsid w:val="00033DFC"/>
    <w:rsid w:val="0003400F"/>
    <w:rsid w:val="00035491"/>
    <w:rsid w:val="0003734E"/>
    <w:rsid w:val="00037E43"/>
    <w:rsid w:val="0004111C"/>
    <w:rsid w:val="00041E95"/>
    <w:rsid w:val="00042A74"/>
    <w:rsid w:val="00042AEC"/>
    <w:rsid w:val="00042B55"/>
    <w:rsid w:val="00044211"/>
    <w:rsid w:val="000449CC"/>
    <w:rsid w:val="00044E3D"/>
    <w:rsid w:val="00047313"/>
    <w:rsid w:val="00047F89"/>
    <w:rsid w:val="00050F96"/>
    <w:rsid w:val="000511B3"/>
    <w:rsid w:val="000512F3"/>
    <w:rsid w:val="0005216D"/>
    <w:rsid w:val="00052240"/>
    <w:rsid w:val="00052EF0"/>
    <w:rsid w:val="000533F9"/>
    <w:rsid w:val="00053919"/>
    <w:rsid w:val="0005483A"/>
    <w:rsid w:val="00055F37"/>
    <w:rsid w:val="0005759F"/>
    <w:rsid w:val="00060965"/>
    <w:rsid w:val="00060C9B"/>
    <w:rsid w:val="00060F63"/>
    <w:rsid w:val="00061BFC"/>
    <w:rsid w:val="00061EA1"/>
    <w:rsid w:val="00062DB1"/>
    <w:rsid w:val="00063C10"/>
    <w:rsid w:val="0006447D"/>
    <w:rsid w:val="000646D8"/>
    <w:rsid w:val="00066716"/>
    <w:rsid w:val="00067F19"/>
    <w:rsid w:val="00070950"/>
    <w:rsid w:val="00071853"/>
    <w:rsid w:val="00071957"/>
    <w:rsid w:val="00073BD2"/>
    <w:rsid w:val="00074132"/>
    <w:rsid w:val="00074AFF"/>
    <w:rsid w:val="00075D26"/>
    <w:rsid w:val="000766AF"/>
    <w:rsid w:val="00077A71"/>
    <w:rsid w:val="00080E0D"/>
    <w:rsid w:val="00083245"/>
    <w:rsid w:val="000833BF"/>
    <w:rsid w:val="00084ECF"/>
    <w:rsid w:val="00085808"/>
    <w:rsid w:val="000900E4"/>
    <w:rsid w:val="00090143"/>
    <w:rsid w:val="000917C4"/>
    <w:rsid w:val="00093A8D"/>
    <w:rsid w:val="00093B1F"/>
    <w:rsid w:val="00095661"/>
    <w:rsid w:val="000A2992"/>
    <w:rsid w:val="000A50DB"/>
    <w:rsid w:val="000A6154"/>
    <w:rsid w:val="000A7265"/>
    <w:rsid w:val="000A73C3"/>
    <w:rsid w:val="000A785D"/>
    <w:rsid w:val="000A7EF9"/>
    <w:rsid w:val="000B2086"/>
    <w:rsid w:val="000B2283"/>
    <w:rsid w:val="000B2493"/>
    <w:rsid w:val="000B3FC7"/>
    <w:rsid w:val="000B5906"/>
    <w:rsid w:val="000B6074"/>
    <w:rsid w:val="000C33A8"/>
    <w:rsid w:val="000C3CF6"/>
    <w:rsid w:val="000C49F8"/>
    <w:rsid w:val="000C4EBF"/>
    <w:rsid w:val="000C5E9F"/>
    <w:rsid w:val="000C6241"/>
    <w:rsid w:val="000C7727"/>
    <w:rsid w:val="000D013F"/>
    <w:rsid w:val="000D143E"/>
    <w:rsid w:val="000D249D"/>
    <w:rsid w:val="000D25C6"/>
    <w:rsid w:val="000D31D9"/>
    <w:rsid w:val="000D3735"/>
    <w:rsid w:val="000D3EFD"/>
    <w:rsid w:val="000D62FB"/>
    <w:rsid w:val="000D64B9"/>
    <w:rsid w:val="000D72F0"/>
    <w:rsid w:val="000D7DD7"/>
    <w:rsid w:val="000E1F5D"/>
    <w:rsid w:val="000E4A4A"/>
    <w:rsid w:val="000E57ED"/>
    <w:rsid w:val="000E5EC1"/>
    <w:rsid w:val="000E66CE"/>
    <w:rsid w:val="000E7C93"/>
    <w:rsid w:val="000F068F"/>
    <w:rsid w:val="000F0C01"/>
    <w:rsid w:val="000F20CD"/>
    <w:rsid w:val="000F2B69"/>
    <w:rsid w:val="000F37D8"/>
    <w:rsid w:val="000F391E"/>
    <w:rsid w:val="000F4D55"/>
    <w:rsid w:val="000F59BE"/>
    <w:rsid w:val="000F65CC"/>
    <w:rsid w:val="000F7319"/>
    <w:rsid w:val="001008C1"/>
    <w:rsid w:val="00100B42"/>
    <w:rsid w:val="001010BA"/>
    <w:rsid w:val="001012F4"/>
    <w:rsid w:val="00103837"/>
    <w:rsid w:val="00103CA9"/>
    <w:rsid w:val="00104AF5"/>
    <w:rsid w:val="001054A3"/>
    <w:rsid w:val="00105ED8"/>
    <w:rsid w:val="00110F3E"/>
    <w:rsid w:val="00112196"/>
    <w:rsid w:val="001123B7"/>
    <w:rsid w:val="00113768"/>
    <w:rsid w:val="00115196"/>
    <w:rsid w:val="0011533F"/>
    <w:rsid w:val="00115AB9"/>
    <w:rsid w:val="0011674D"/>
    <w:rsid w:val="00117E4B"/>
    <w:rsid w:val="00120C4A"/>
    <w:rsid w:val="001241FA"/>
    <w:rsid w:val="00124C7E"/>
    <w:rsid w:val="00125CAC"/>
    <w:rsid w:val="00125EAB"/>
    <w:rsid w:val="00127988"/>
    <w:rsid w:val="00130263"/>
    <w:rsid w:val="00131451"/>
    <w:rsid w:val="0013248D"/>
    <w:rsid w:val="001335E6"/>
    <w:rsid w:val="0013392A"/>
    <w:rsid w:val="001352E2"/>
    <w:rsid w:val="00135864"/>
    <w:rsid w:val="00136ED6"/>
    <w:rsid w:val="00141CB3"/>
    <w:rsid w:val="00142107"/>
    <w:rsid w:val="0014286A"/>
    <w:rsid w:val="001432B5"/>
    <w:rsid w:val="00143565"/>
    <w:rsid w:val="0014358F"/>
    <w:rsid w:val="00143EC9"/>
    <w:rsid w:val="00147067"/>
    <w:rsid w:val="00150A9B"/>
    <w:rsid w:val="001516BA"/>
    <w:rsid w:val="0015349D"/>
    <w:rsid w:val="001541E3"/>
    <w:rsid w:val="00157153"/>
    <w:rsid w:val="001600F4"/>
    <w:rsid w:val="00160ED6"/>
    <w:rsid w:val="001615E9"/>
    <w:rsid w:val="00163ADA"/>
    <w:rsid w:val="00164D66"/>
    <w:rsid w:val="001656B7"/>
    <w:rsid w:val="00166BD5"/>
    <w:rsid w:val="00166D2E"/>
    <w:rsid w:val="001676D6"/>
    <w:rsid w:val="001704AA"/>
    <w:rsid w:val="001711C4"/>
    <w:rsid w:val="0017277D"/>
    <w:rsid w:val="001738A6"/>
    <w:rsid w:val="00173E11"/>
    <w:rsid w:val="001748CE"/>
    <w:rsid w:val="00175491"/>
    <w:rsid w:val="001775C1"/>
    <w:rsid w:val="00177A0C"/>
    <w:rsid w:val="001808A6"/>
    <w:rsid w:val="00181CA3"/>
    <w:rsid w:val="00181E90"/>
    <w:rsid w:val="0018204D"/>
    <w:rsid w:val="0018210B"/>
    <w:rsid w:val="00184E2A"/>
    <w:rsid w:val="00186998"/>
    <w:rsid w:val="00187AC0"/>
    <w:rsid w:val="00187B9F"/>
    <w:rsid w:val="00187FD7"/>
    <w:rsid w:val="00191379"/>
    <w:rsid w:val="00192B0B"/>
    <w:rsid w:val="00193CE3"/>
    <w:rsid w:val="00194024"/>
    <w:rsid w:val="0019513F"/>
    <w:rsid w:val="00196A88"/>
    <w:rsid w:val="00196B77"/>
    <w:rsid w:val="00196CB9"/>
    <w:rsid w:val="001A04E0"/>
    <w:rsid w:val="001A05F5"/>
    <w:rsid w:val="001A0B08"/>
    <w:rsid w:val="001A29C0"/>
    <w:rsid w:val="001A2CC7"/>
    <w:rsid w:val="001A3F29"/>
    <w:rsid w:val="001A4C11"/>
    <w:rsid w:val="001A5E3A"/>
    <w:rsid w:val="001A690B"/>
    <w:rsid w:val="001B03EA"/>
    <w:rsid w:val="001B3694"/>
    <w:rsid w:val="001B3C6C"/>
    <w:rsid w:val="001B4611"/>
    <w:rsid w:val="001B4D39"/>
    <w:rsid w:val="001B500D"/>
    <w:rsid w:val="001B5AD4"/>
    <w:rsid w:val="001B76AB"/>
    <w:rsid w:val="001C16ED"/>
    <w:rsid w:val="001C4454"/>
    <w:rsid w:val="001C48B8"/>
    <w:rsid w:val="001C4C63"/>
    <w:rsid w:val="001C4D54"/>
    <w:rsid w:val="001C681E"/>
    <w:rsid w:val="001C705A"/>
    <w:rsid w:val="001C760B"/>
    <w:rsid w:val="001D00EB"/>
    <w:rsid w:val="001D2B76"/>
    <w:rsid w:val="001D2D94"/>
    <w:rsid w:val="001D4259"/>
    <w:rsid w:val="001D4359"/>
    <w:rsid w:val="001D4C6F"/>
    <w:rsid w:val="001D5ACB"/>
    <w:rsid w:val="001D677C"/>
    <w:rsid w:val="001D76F6"/>
    <w:rsid w:val="001E0F71"/>
    <w:rsid w:val="001E1D12"/>
    <w:rsid w:val="001E229E"/>
    <w:rsid w:val="001E3D88"/>
    <w:rsid w:val="001E3DBA"/>
    <w:rsid w:val="001E44BE"/>
    <w:rsid w:val="001E5636"/>
    <w:rsid w:val="001E5995"/>
    <w:rsid w:val="001E5A02"/>
    <w:rsid w:val="001F00C9"/>
    <w:rsid w:val="001F087A"/>
    <w:rsid w:val="001F099B"/>
    <w:rsid w:val="001F141E"/>
    <w:rsid w:val="001F3C91"/>
    <w:rsid w:val="001F433D"/>
    <w:rsid w:val="001F44B9"/>
    <w:rsid w:val="001F5EBE"/>
    <w:rsid w:val="001F7C58"/>
    <w:rsid w:val="00201292"/>
    <w:rsid w:val="00201D6D"/>
    <w:rsid w:val="002047CA"/>
    <w:rsid w:val="00210D9D"/>
    <w:rsid w:val="00212A4F"/>
    <w:rsid w:val="002133FA"/>
    <w:rsid w:val="00214211"/>
    <w:rsid w:val="00214281"/>
    <w:rsid w:val="002144A1"/>
    <w:rsid w:val="00214ED5"/>
    <w:rsid w:val="0021508C"/>
    <w:rsid w:val="00215109"/>
    <w:rsid w:val="002156FF"/>
    <w:rsid w:val="00216105"/>
    <w:rsid w:val="002208D3"/>
    <w:rsid w:val="00220A33"/>
    <w:rsid w:val="00222064"/>
    <w:rsid w:val="0022208E"/>
    <w:rsid w:val="00224586"/>
    <w:rsid w:val="0022568B"/>
    <w:rsid w:val="00225B0D"/>
    <w:rsid w:val="0022637A"/>
    <w:rsid w:val="00226CF1"/>
    <w:rsid w:val="00227927"/>
    <w:rsid w:val="00230007"/>
    <w:rsid w:val="00230A33"/>
    <w:rsid w:val="00232763"/>
    <w:rsid w:val="00233F3C"/>
    <w:rsid w:val="0023444F"/>
    <w:rsid w:val="00234C29"/>
    <w:rsid w:val="0023793A"/>
    <w:rsid w:val="00240725"/>
    <w:rsid w:val="00240E30"/>
    <w:rsid w:val="00241F4D"/>
    <w:rsid w:val="002430CC"/>
    <w:rsid w:val="00245D1D"/>
    <w:rsid w:val="00245E8C"/>
    <w:rsid w:val="0024794E"/>
    <w:rsid w:val="002505AD"/>
    <w:rsid w:val="00251718"/>
    <w:rsid w:val="00251782"/>
    <w:rsid w:val="00252FB4"/>
    <w:rsid w:val="00253332"/>
    <w:rsid w:val="0025412D"/>
    <w:rsid w:val="002541E1"/>
    <w:rsid w:val="00255368"/>
    <w:rsid w:val="0025558C"/>
    <w:rsid w:val="002562EC"/>
    <w:rsid w:val="00256378"/>
    <w:rsid w:val="00256D5A"/>
    <w:rsid w:val="0025770C"/>
    <w:rsid w:val="00261B65"/>
    <w:rsid w:val="0026387D"/>
    <w:rsid w:val="00264751"/>
    <w:rsid w:val="002653B5"/>
    <w:rsid w:val="00265987"/>
    <w:rsid w:val="00265C49"/>
    <w:rsid w:val="002678E1"/>
    <w:rsid w:val="00271F56"/>
    <w:rsid w:val="00272EE2"/>
    <w:rsid w:val="0027337F"/>
    <w:rsid w:val="00273F56"/>
    <w:rsid w:val="002749DE"/>
    <w:rsid w:val="00274B9A"/>
    <w:rsid w:val="00274E22"/>
    <w:rsid w:val="00274F58"/>
    <w:rsid w:val="002759E7"/>
    <w:rsid w:val="00280912"/>
    <w:rsid w:val="0028249F"/>
    <w:rsid w:val="00282A71"/>
    <w:rsid w:val="00282BF2"/>
    <w:rsid w:val="00282F53"/>
    <w:rsid w:val="0028309A"/>
    <w:rsid w:val="002844B7"/>
    <w:rsid w:val="002849A1"/>
    <w:rsid w:val="00285167"/>
    <w:rsid w:val="0028794D"/>
    <w:rsid w:val="00290984"/>
    <w:rsid w:val="002917CE"/>
    <w:rsid w:val="002927A5"/>
    <w:rsid w:val="00293131"/>
    <w:rsid w:val="0029410F"/>
    <w:rsid w:val="0029523B"/>
    <w:rsid w:val="0029739B"/>
    <w:rsid w:val="002976F6"/>
    <w:rsid w:val="0029798F"/>
    <w:rsid w:val="00297B33"/>
    <w:rsid w:val="002A0547"/>
    <w:rsid w:val="002A1ACC"/>
    <w:rsid w:val="002A3C40"/>
    <w:rsid w:val="002A4D2E"/>
    <w:rsid w:val="002A5019"/>
    <w:rsid w:val="002A5C26"/>
    <w:rsid w:val="002A62C8"/>
    <w:rsid w:val="002A7845"/>
    <w:rsid w:val="002A7D63"/>
    <w:rsid w:val="002B010E"/>
    <w:rsid w:val="002B12D5"/>
    <w:rsid w:val="002B20D3"/>
    <w:rsid w:val="002B2C41"/>
    <w:rsid w:val="002B34BF"/>
    <w:rsid w:val="002B4F20"/>
    <w:rsid w:val="002B6429"/>
    <w:rsid w:val="002B7A0C"/>
    <w:rsid w:val="002B7B35"/>
    <w:rsid w:val="002C06FF"/>
    <w:rsid w:val="002C1AAD"/>
    <w:rsid w:val="002C1D22"/>
    <w:rsid w:val="002C30DB"/>
    <w:rsid w:val="002C3325"/>
    <w:rsid w:val="002C54C8"/>
    <w:rsid w:val="002C6AD7"/>
    <w:rsid w:val="002D149A"/>
    <w:rsid w:val="002D1D58"/>
    <w:rsid w:val="002D1EDF"/>
    <w:rsid w:val="002D2F03"/>
    <w:rsid w:val="002D3F33"/>
    <w:rsid w:val="002D6433"/>
    <w:rsid w:val="002D7379"/>
    <w:rsid w:val="002E0053"/>
    <w:rsid w:val="002E0798"/>
    <w:rsid w:val="002E0A04"/>
    <w:rsid w:val="002E1FF4"/>
    <w:rsid w:val="002E27A2"/>
    <w:rsid w:val="002E2E26"/>
    <w:rsid w:val="002E48DE"/>
    <w:rsid w:val="002E5974"/>
    <w:rsid w:val="002E7D44"/>
    <w:rsid w:val="002F10C0"/>
    <w:rsid w:val="002F2767"/>
    <w:rsid w:val="002F3CAD"/>
    <w:rsid w:val="002F4460"/>
    <w:rsid w:val="002F5397"/>
    <w:rsid w:val="002F5ECA"/>
    <w:rsid w:val="0030290B"/>
    <w:rsid w:val="00306581"/>
    <w:rsid w:val="00307659"/>
    <w:rsid w:val="00310C49"/>
    <w:rsid w:val="00311731"/>
    <w:rsid w:val="00312150"/>
    <w:rsid w:val="00313329"/>
    <w:rsid w:val="00314288"/>
    <w:rsid w:val="003148F8"/>
    <w:rsid w:val="003153B3"/>
    <w:rsid w:val="00321774"/>
    <w:rsid w:val="00321DC2"/>
    <w:rsid w:val="003229AB"/>
    <w:rsid w:val="00322DDA"/>
    <w:rsid w:val="00323D37"/>
    <w:rsid w:val="003277FF"/>
    <w:rsid w:val="00327823"/>
    <w:rsid w:val="00327DDA"/>
    <w:rsid w:val="00331601"/>
    <w:rsid w:val="00332EE5"/>
    <w:rsid w:val="003338C7"/>
    <w:rsid w:val="00334C29"/>
    <w:rsid w:val="00335512"/>
    <w:rsid w:val="00337BCA"/>
    <w:rsid w:val="003447AC"/>
    <w:rsid w:val="0034569D"/>
    <w:rsid w:val="0034611F"/>
    <w:rsid w:val="003472D3"/>
    <w:rsid w:val="003502ED"/>
    <w:rsid w:val="003527DC"/>
    <w:rsid w:val="003528DA"/>
    <w:rsid w:val="0035334E"/>
    <w:rsid w:val="00353B02"/>
    <w:rsid w:val="00353F12"/>
    <w:rsid w:val="003553C8"/>
    <w:rsid w:val="00355780"/>
    <w:rsid w:val="00356B81"/>
    <w:rsid w:val="00357473"/>
    <w:rsid w:val="0036024C"/>
    <w:rsid w:val="00362053"/>
    <w:rsid w:val="0036295C"/>
    <w:rsid w:val="00363DC3"/>
    <w:rsid w:val="00363FFD"/>
    <w:rsid w:val="00364088"/>
    <w:rsid w:val="00364BF1"/>
    <w:rsid w:val="00364F36"/>
    <w:rsid w:val="00365FB5"/>
    <w:rsid w:val="003667A1"/>
    <w:rsid w:val="00366B4D"/>
    <w:rsid w:val="003671AA"/>
    <w:rsid w:val="00371587"/>
    <w:rsid w:val="003718A5"/>
    <w:rsid w:val="0037231F"/>
    <w:rsid w:val="00372B35"/>
    <w:rsid w:val="00372C9B"/>
    <w:rsid w:val="00373EBC"/>
    <w:rsid w:val="00374E01"/>
    <w:rsid w:val="0037561D"/>
    <w:rsid w:val="00376B72"/>
    <w:rsid w:val="00377747"/>
    <w:rsid w:val="00377AFB"/>
    <w:rsid w:val="00377C09"/>
    <w:rsid w:val="00377E8F"/>
    <w:rsid w:val="003808EA"/>
    <w:rsid w:val="0038145F"/>
    <w:rsid w:val="003817E6"/>
    <w:rsid w:val="003827A5"/>
    <w:rsid w:val="003830D9"/>
    <w:rsid w:val="003832CB"/>
    <w:rsid w:val="003834D5"/>
    <w:rsid w:val="00383592"/>
    <w:rsid w:val="00383666"/>
    <w:rsid w:val="00384E84"/>
    <w:rsid w:val="00386BBD"/>
    <w:rsid w:val="003872AC"/>
    <w:rsid w:val="00387D05"/>
    <w:rsid w:val="00387E4B"/>
    <w:rsid w:val="00387F30"/>
    <w:rsid w:val="00391A83"/>
    <w:rsid w:val="00393C7D"/>
    <w:rsid w:val="00395D57"/>
    <w:rsid w:val="00396DBD"/>
    <w:rsid w:val="003972B9"/>
    <w:rsid w:val="00397CF1"/>
    <w:rsid w:val="003A010F"/>
    <w:rsid w:val="003A0F08"/>
    <w:rsid w:val="003A1F4D"/>
    <w:rsid w:val="003A30A3"/>
    <w:rsid w:val="003A5BCE"/>
    <w:rsid w:val="003A60F0"/>
    <w:rsid w:val="003A61AE"/>
    <w:rsid w:val="003A679E"/>
    <w:rsid w:val="003A691D"/>
    <w:rsid w:val="003A6A10"/>
    <w:rsid w:val="003A7D36"/>
    <w:rsid w:val="003B02E9"/>
    <w:rsid w:val="003B0BFC"/>
    <w:rsid w:val="003B0DB2"/>
    <w:rsid w:val="003B1FC5"/>
    <w:rsid w:val="003B5029"/>
    <w:rsid w:val="003B585C"/>
    <w:rsid w:val="003B6F44"/>
    <w:rsid w:val="003B7022"/>
    <w:rsid w:val="003B72AA"/>
    <w:rsid w:val="003C0693"/>
    <w:rsid w:val="003C16AC"/>
    <w:rsid w:val="003C20B3"/>
    <w:rsid w:val="003C3563"/>
    <w:rsid w:val="003C438F"/>
    <w:rsid w:val="003C549B"/>
    <w:rsid w:val="003C6CA6"/>
    <w:rsid w:val="003D2BA8"/>
    <w:rsid w:val="003D46BC"/>
    <w:rsid w:val="003D4B7B"/>
    <w:rsid w:val="003D60F0"/>
    <w:rsid w:val="003D6D99"/>
    <w:rsid w:val="003D7DC2"/>
    <w:rsid w:val="003E08B0"/>
    <w:rsid w:val="003E101B"/>
    <w:rsid w:val="003E2A70"/>
    <w:rsid w:val="003E3B15"/>
    <w:rsid w:val="003E4F6F"/>
    <w:rsid w:val="003E69D7"/>
    <w:rsid w:val="003E6E8D"/>
    <w:rsid w:val="003E7769"/>
    <w:rsid w:val="003F0596"/>
    <w:rsid w:val="003F08DC"/>
    <w:rsid w:val="003F4108"/>
    <w:rsid w:val="003F54E8"/>
    <w:rsid w:val="003F557F"/>
    <w:rsid w:val="003F56FA"/>
    <w:rsid w:val="003F5D18"/>
    <w:rsid w:val="004012C5"/>
    <w:rsid w:val="00401EE2"/>
    <w:rsid w:val="00403B22"/>
    <w:rsid w:val="0040534B"/>
    <w:rsid w:val="004054EF"/>
    <w:rsid w:val="00406929"/>
    <w:rsid w:val="00407183"/>
    <w:rsid w:val="004076F9"/>
    <w:rsid w:val="004105AC"/>
    <w:rsid w:val="00410BE4"/>
    <w:rsid w:val="004114BA"/>
    <w:rsid w:val="004118BB"/>
    <w:rsid w:val="004131B9"/>
    <w:rsid w:val="004147A1"/>
    <w:rsid w:val="0041746C"/>
    <w:rsid w:val="004177B6"/>
    <w:rsid w:val="00421540"/>
    <w:rsid w:val="00421B7E"/>
    <w:rsid w:val="00423B70"/>
    <w:rsid w:val="00424086"/>
    <w:rsid w:val="00430513"/>
    <w:rsid w:val="00430B17"/>
    <w:rsid w:val="004317A1"/>
    <w:rsid w:val="0043181C"/>
    <w:rsid w:val="004318B9"/>
    <w:rsid w:val="00432E2A"/>
    <w:rsid w:val="00433BC8"/>
    <w:rsid w:val="00434707"/>
    <w:rsid w:val="00435703"/>
    <w:rsid w:val="004372A4"/>
    <w:rsid w:val="00437E21"/>
    <w:rsid w:val="00437F43"/>
    <w:rsid w:val="00443F5D"/>
    <w:rsid w:val="0044418E"/>
    <w:rsid w:val="0044665A"/>
    <w:rsid w:val="0044743E"/>
    <w:rsid w:val="004508F3"/>
    <w:rsid w:val="00451D24"/>
    <w:rsid w:val="00455797"/>
    <w:rsid w:val="00455EB3"/>
    <w:rsid w:val="00456B0E"/>
    <w:rsid w:val="00456D85"/>
    <w:rsid w:val="00460AAF"/>
    <w:rsid w:val="00460E88"/>
    <w:rsid w:val="0046116A"/>
    <w:rsid w:val="00461BE3"/>
    <w:rsid w:val="00461F2E"/>
    <w:rsid w:val="0046223D"/>
    <w:rsid w:val="0046249C"/>
    <w:rsid w:val="00462CA1"/>
    <w:rsid w:val="004659AA"/>
    <w:rsid w:val="004660A9"/>
    <w:rsid w:val="00466B9F"/>
    <w:rsid w:val="00466DE8"/>
    <w:rsid w:val="0047067F"/>
    <w:rsid w:val="00472870"/>
    <w:rsid w:val="00473588"/>
    <w:rsid w:val="004765C5"/>
    <w:rsid w:val="00480133"/>
    <w:rsid w:val="00480CBC"/>
    <w:rsid w:val="00480EB9"/>
    <w:rsid w:val="0048210D"/>
    <w:rsid w:val="00482B8C"/>
    <w:rsid w:val="0048334F"/>
    <w:rsid w:val="004833D9"/>
    <w:rsid w:val="00483E7D"/>
    <w:rsid w:val="00484C77"/>
    <w:rsid w:val="00485920"/>
    <w:rsid w:val="00486DF7"/>
    <w:rsid w:val="0049329D"/>
    <w:rsid w:val="00493664"/>
    <w:rsid w:val="004945C5"/>
    <w:rsid w:val="004953FC"/>
    <w:rsid w:val="004963FC"/>
    <w:rsid w:val="00496B45"/>
    <w:rsid w:val="004975C0"/>
    <w:rsid w:val="00497648"/>
    <w:rsid w:val="004A0F67"/>
    <w:rsid w:val="004A1E7B"/>
    <w:rsid w:val="004A2761"/>
    <w:rsid w:val="004A31E2"/>
    <w:rsid w:val="004A4246"/>
    <w:rsid w:val="004A5062"/>
    <w:rsid w:val="004A5589"/>
    <w:rsid w:val="004A5E7B"/>
    <w:rsid w:val="004B0ACC"/>
    <w:rsid w:val="004B2048"/>
    <w:rsid w:val="004B3E5E"/>
    <w:rsid w:val="004B474D"/>
    <w:rsid w:val="004B4BCE"/>
    <w:rsid w:val="004B4C52"/>
    <w:rsid w:val="004B5C4B"/>
    <w:rsid w:val="004B63ED"/>
    <w:rsid w:val="004C2EBB"/>
    <w:rsid w:val="004C4605"/>
    <w:rsid w:val="004C51FD"/>
    <w:rsid w:val="004C6949"/>
    <w:rsid w:val="004C7E98"/>
    <w:rsid w:val="004D09DC"/>
    <w:rsid w:val="004D1912"/>
    <w:rsid w:val="004D1CFE"/>
    <w:rsid w:val="004D27E7"/>
    <w:rsid w:val="004D2864"/>
    <w:rsid w:val="004D4208"/>
    <w:rsid w:val="004D4823"/>
    <w:rsid w:val="004D4EB9"/>
    <w:rsid w:val="004D62E8"/>
    <w:rsid w:val="004E192E"/>
    <w:rsid w:val="004E24F8"/>
    <w:rsid w:val="004E4A96"/>
    <w:rsid w:val="004E4CD3"/>
    <w:rsid w:val="004E5755"/>
    <w:rsid w:val="004E7656"/>
    <w:rsid w:val="004F016A"/>
    <w:rsid w:val="004F2202"/>
    <w:rsid w:val="004F3C8B"/>
    <w:rsid w:val="004F53DD"/>
    <w:rsid w:val="004F66C3"/>
    <w:rsid w:val="00500B83"/>
    <w:rsid w:val="00502001"/>
    <w:rsid w:val="005020B2"/>
    <w:rsid w:val="00502915"/>
    <w:rsid w:val="00503C87"/>
    <w:rsid w:val="005055DB"/>
    <w:rsid w:val="00505712"/>
    <w:rsid w:val="00505784"/>
    <w:rsid w:val="0051006A"/>
    <w:rsid w:val="00511E93"/>
    <w:rsid w:val="005124C0"/>
    <w:rsid w:val="0051392E"/>
    <w:rsid w:val="00514457"/>
    <w:rsid w:val="0051475A"/>
    <w:rsid w:val="0051692D"/>
    <w:rsid w:val="00516AF5"/>
    <w:rsid w:val="005172A9"/>
    <w:rsid w:val="00520FF8"/>
    <w:rsid w:val="005211EE"/>
    <w:rsid w:val="00521628"/>
    <w:rsid w:val="00521BA5"/>
    <w:rsid w:val="00522EDA"/>
    <w:rsid w:val="005237E2"/>
    <w:rsid w:val="00523873"/>
    <w:rsid w:val="0052698E"/>
    <w:rsid w:val="00526B02"/>
    <w:rsid w:val="00527FA4"/>
    <w:rsid w:val="00531438"/>
    <w:rsid w:val="005318F6"/>
    <w:rsid w:val="00531E64"/>
    <w:rsid w:val="00532149"/>
    <w:rsid w:val="00532457"/>
    <w:rsid w:val="00532E09"/>
    <w:rsid w:val="00533600"/>
    <w:rsid w:val="00535251"/>
    <w:rsid w:val="00537B35"/>
    <w:rsid w:val="00537EBF"/>
    <w:rsid w:val="005402F7"/>
    <w:rsid w:val="00543060"/>
    <w:rsid w:val="0054481C"/>
    <w:rsid w:val="0054482D"/>
    <w:rsid w:val="00544C1D"/>
    <w:rsid w:val="00545967"/>
    <w:rsid w:val="005467D2"/>
    <w:rsid w:val="00546CFD"/>
    <w:rsid w:val="00550855"/>
    <w:rsid w:val="00550CA8"/>
    <w:rsid w:val="005521CD"/>
    <w:rsid w:val="00552FB0"/>
    <w:rsid w:val="0055471B"/>
    <w:rsid w:val="0055474C"/>
    <w:rsid w:val="00554A5E"/>
    <w:rsid w:val="00555154"/>
    <w:rsid w:val="005571BB"/>
    <w:rsid w:val="005575DC"/>
    <w:rsid w:val="00557A9F"/>
    <w:rsid w:val="0056135F"/>
    <w:rsid w:val="00562181"/>
    <w:rsid w:val="00562C1F"/>
    <w:rsid w:val="0056347F"/>
    <w:rsid w:val="00564BB0"/>
    <w:rsid w:val="005654E5"/>
    <w:rsid w:val="00565757"/>
    <w:rsid w:val="00566BAF"/>
    <w:rsid w:val="00567598"/>
    <w:rsid w:val="0056786D"/>
    <w:rsid w:val="00571430"/>
    <w:rsid w:val="00572C71"/>
    <w:rsid w:val="00573A45"/>
    <w:rsid w:val="00574641"/>
    <w:rsid w:val="00574D42"/>
    <w:rsid w:val="005756BB"/>
    <w:rsid w:val="00575857"/>
    <w:rsid w:val="005763F5"/>
    <w:rsid w:val="005764F8"/>
    <w:rsid w:val="005765EC"/>
    <w:rsid w:val="005769FC"/>
    <w:rsid w:val="005772DF"/>
    <w:rsid w:val="00577CE5"/>
    <w:rsid w:val="00577D05"/>
    <w:rsid w:val="00580CBB"/>
    <w:rsid w:val="00581325"/>
    <w:rsid w:val="005830EE"/>
    <w:rsid w:val="005840A2"/>
    <w:rsid w:val="00584145"/>
    <w:rsid w:val="00587874"/>
    <w:rsid w:val="00590C32"/>
    <w:rsid w:val="00590DD3"/>
    <w:rsid w:val="00592DDA"/>
    <w:rsid w:val="00593D58"/>
    <w:rsid w:val="00594696"/>
    <w:rsid w:val="00594737"/>
    <w:rsid w:val="0059570C"/>
    <w:rsid w:val="00595AE9"/>
    <w:rsid w:val="005967CA"/>
    <w:rsid w:val="00596B78"/>
    <w:rsid w:val="00596D7E"/>
    <w:rsid w:val="00597A70"/>
    <w:rsid w:val="00597D2C"/>
    <w:rsid w:val="005A045A"/>
    <w:rsid w:val="005A263F"/>
    <w:rsid w:val="005A3442"/>
    <w:rsid w:val="005A5E21"/>
    <w:rsid w:val="005A6E85"/>
    <w:rsid w:val="005A70C0"/>
    <w:rsid w:val="005B022E"/>
    <w:rsid w:val="005B0F9F"/>
    <w:rsid w:val="005B0FB4"/>
    <w:rsid w:val="005B3515"/>
    <w:rsid w:val="005B5224"/>
    <w:rsid w:val="005B59E1"/>
    <w:rsid w:val="005B5FE7"/>
    <w:rsid w:val="005C1542"/>
    <w:rsid w:val="005C22DA"/>
    <w:rsid w:val="005C24EA"/>
    <w:rsid w:val="005C28EB"/>
    <w:rsid w:val="005C2E59"/>
    <w:rsid w:val="005C46AF"/>
    <w:rsid w:val="005C4760"/>
    <w:rsid w:val="005C5195"/>
    <w:rsid w:val="005C74BA"/>
    <w:rsid w:val="005C75E4"/>
    <w:rsid w:val="005C7BBF"/>
    <w:rsid w:val="005D0456"/>
    <w:rsid w:val="005D0FAF"/>
    <w:rsid w:val="005D1105"/>
    <w:rsid w:val="005D14D7"/>
    <w:rsid w:val="005D1EE1"/>
    <w:rsid w:val="005D23E9"/>
    <w:rsid w:val="005D3167"/>
    <w:rsid w:val="005D34F2"/>
    <w:rsid w:val="005D3A61"/>
    <w:rsid w:val="005D4CFC"/>
    <w:rsid w:val="005D7AD1"/>
    <w:rsid w:val="005E0129"/>
    <w:rsid w:val="005E0196"/>
    <w:rsid w:val="005E01AE"/>
    <w:rsid w:val="005E10D8"/>
    <w:rsid w:val="005E319A"/>
    <w:rsid w:val="005E3A2F"/>
    <w:rsid w:val="005E5F5F"/>
    <w:rsid w:val="005E6822"/>
    <w:rsid w:val="005E7FDF"/>
    <w:rsid w:val="005F07D3"/>
    <w:rsid w:val="005F16B4"/>
    <w:rsid w:val="005F1EA1"/>
    <w:rsid w:val="005F2F4F"/>
    <w:rsid w:val="005F548F"/>
    <w:rsid w:val="005F6031"/>
    <w:rsid w:val="005F7E9C"/>
    <w:rsid w:val="00600893"/>
    <w:rsid w:val="00600E2A"/>
    <w:rsid w:val="00601F9D"/>
    <w:rsid w:val="006029E4"/>
    <w:rsid w:val="0060786A"/>
    <w:rsid w:val="0061007F"/>
    <w:rsid w:val="00610D51"/>
    <w:rsid w:val="00610ED3"/>
    <w:rsid w:val="00610FC6"/>
    <w:rsid w:val="006119D2"/>
    <w:rsid w:val="00611B0F"/>
    <w:rsid w:val="006128CB"/>
    <w:rsid w:val="00613F0C"/>
    <w:rsid w:val="006154C1"/>
    <w:rsid w:val="006165FB"/>
    <w:rsid w:val="00616667"/>
    <w:rsid w:val="006172F3"/>
    <w:rsid w:val="0061739B"/>
    <w:rsid w:val="0062040F"/>
    <w:rsid w:val="00620DF4"/>
    <w:rsid w:val="00622CD8"/>
    <w:rsid w:val="00622F29"/>
    <w:rsid w:val="0062417E"/>
    <w:rsid w:val="006241C0"/>
    <w:rsid w:val="00624556"/>
    <w:rsid w:val="00624D63"/>
    <w:rsid w:val="006274F6"/>
    <w:rsid w:val="00627BAE"/>
    <w:rsid w:val="006305AF"/>
    <w:rsid w:val="0063066D"/>
    <w:rsid w:val="006316D8"/>
    <w:rsid w:val="006317A3"/>
    <w:rsid w:val="00631A4B"/>
    <w:rsid w:val="006321E3"/>
    <w:rsid w:val="006328CA"/>
    <w:rsid w:val="006331BE"/>
    <w:rsid w:val="00633681"/>
    <w:rsid w:val="00633883"/>
    <w:rsid w:val="006338A2"/>
    <w:rsid w:val="00636C64"/>
    <w:rsid w:val="00640FC0"/>
    <w:rsid w:val="00641DB2"/>
    <w:rsid w:val="00643BCE"/>
    <w:rsid w:val="006444A8"/>
    <w:rsid w:val="0064578B"/>
    <w:rsid w:val="00646607"/>
    <w:rsid w:val="00646726"/>
    <w:rsid w:val="0064678B"/>
    <w:rsid w:val="00646860"/>
    <w:rsid w:val="00646DF3"/>
    <w:rsid w:val="00647875"/>
    <w:rsid w:val="00650305"/>
    <w:rsid w:val="00650C0D"/>
    <w:rsid w:val="00652B84"/>
    <w:rsid w:val="00654391"/>
    <w:rsid w:val="0065687E"/>
    <w:rsid w:val="00656CCA"/>
    <w:rsid w:val="00660C6D"/>
    <w:rsid w:val="00660D0B"/>
    <w:rsid w:val="00661531"/>
    <w:rsid w:val="00664683"/>
    <w:rsid w:val="0066557C"/>
    <w:rsid w:val="006661A5"/>
    <w:rsid w:val="00666481"/>
    <w:rsid w:val="00666F9A"/>
    <w:rsid w:val="006713A0"/>
    <w:rsid w:val="00672A81"/>
    <w:rsid w:val="00673998"/>
    <w:rsid w:val="0067412A"/>
    <w:rsid w:val="00674B03"/>
    <w:rsid w:val="00674EFA"/>
    <w:rsid w:val="00675D53"/>
    <w:rsid w:val="006760AC"/>
    <w:rsid w:val="00676B8F"/>
    <w:rsid w:val="00677B7B"/>
    <w:rsid w:val="00680838"/>
    <w:rsid w:val="00681998"/>
    <w:rsid w:val="006825C3"/>
    <w:rsid w:val="00682E65"/>
    <w:rsid w:val="006857F7"/>
    <w:rsid w:val="00685AEC"/>
    <w:rsid w:val="0068655B"/>
    <w:rsid w:val="00691F62"/>
    <w:rsid w:val="00692318"/>
    <w:rsid w:val="00693DA6"/>
    <w:rsid w:val="00695461"/>
    <w:rsid w:val="00696D57"/>
    <w:rsid w:val="00697A58"/>
    <w:rsid w:val="00697E74"/>
    <w:rsid w:val="006A18DB"/>
    <w:rsid w:val="006A6572"/>
    <w:rsid w:val="006A7758"/>
    <w:rsid w:val="006A7B1E"/>
    <w:rsid w:val="006B0CB5"/>
    <w:rsid w:val="006B2661"/>
    <w:rsid w:val="006B3006"/>
    <w:rsid w:val="006B4692"/>
    <w:rsid w:val="006B4F16"/>
    <w:rsid w:val="006B5467"/>
    <w:rsid w:val="006B6994"/>
    <w:rsid w:val="006B7564"/>
    <w:rsid w:val="006B792F"/>
    <w:rsid w:val="006B7D3B"/>
    <w:rsid w:val="006C03BB"/>
    <w:rsid w:val="006C12E2"/>
    <w:rsid w:val="006C17C1"/>
    <w:rsid w:val="006C1844"/>
    <w:rsid w:val="006C2D2C"/>
    <w:rsid w:val="006C3D40"/>
    <w:rsid w:val="006C5546"/>
    <w:rsid w:val="006C68B3"/>
    <w:rsid w:val="006C6C99"/>
    <w:rsid w:val="006C7931"/>
    <w:rsid w:val="006D0989"/>
    <w:rsid w:val="006D26FE"/>
    <w:rsid w:val="006D3530"/>
    <w:rsid w:val="006D6370"/>
    <w:rsid w:val="006D770F"/>
    <w:rsid w:val="006D7BE8"/>
    <w:rsid w:val="006E05BA"/>
    <w:rsid w:val="006E51F4"/>
    <w:rsid w:val="006E6B6A"/>
    <w:rsid w:val="006E6B87"/>
    <w:rsid w:val="006F168A"/>
    <w:rsid w:val="006F3D83"/>
    <w:rsid w:val="006F5456"/>
    <w:rsid w:val="006F58B5"/>
    <w:rsid w:val="006F592B"/>
    <w:rsid w:val="006F7036"/>
    <w:rsid w:val="00700CD6"/>
    <w:rsid w:val="00703FE5"/>
    <w:rsid w:val="00704735"/>
    <w:rsid w:val="007058A7"/>
    <w:rsid w:val="007061C1"/>
    <w:rsid w:val="00706405"/>
    <w:rsid w:val="0070657E"/>
    <w:rsid w:val="00707147"/>
    <w:rsid w:val="00707D62"/>
    <w:rsid w:val="007102BF"/>
    <w:rsid w:val="00710C92"/>
    <w:rsid w:val="00712537"/>
    <w:rsid w:val="00712E9D"/>
    <w:rsid w:val="00713550"/>
    <w:rsid w:val="00716A7F"/>
    <w:rsid w:val="00720137"/>
    <w:rsid w:val="0072224B"/>
    <w:rsid w:val="00722DA4"/>
    <w:rsid w:val="00724BA5"/>
    <w:rsid w:val="00725811"/>
    <w:rsid w:val="00726609"/>
    <w:rsid w:val="0072665E"/>
    <w:rsid w:val="0072702D"/>
    <w:rsid w:val="00727A06"/>
    <w:rsid w:val="00730596"/>
    <w:rsid w:val="00730D90"/>
    <w:rsid w:val="00733A44"/>
    <w:rsid w:val="0073594F"/>
    <w:rsid w:val="00736C40"/>
    <w:rsid w:val="00736FF0"/>
    <w:rsid w:val="00737364"/>
    <w:rsid w:val="0074100A"/>
    <w:rsid w:val="00743836"/>
    <w:rsid w:val="00744F6C"/>
    <w:rsid w:val="00745CF8"/>
    <w:rsid w:val="00747795"/>
    <w:rsid w:val="007509BA"/>
    <w:rsid w:val="007509D0"/>
    <w:rsid w:val="00750E3E"/>
    <w:rsid w:val="007526BF"/>
    <w:rsid w:val="00752A6F"/>
    <w:rsid w:val="00752BB8"/>
    <w:rsid w:val="00752D6E"/>
    <w:rsid w:val="007531CA"/>
    <w:rsid w:val="00753EE0"/>
    <w:rsid w:val="0075449E"/>
    <w:rsid w:val="0075458B"/>
    <w:rsid w:val="00754744"/>
    <w:rsid w:val="007552C0"/>
    <w:rsid w:val="00757D81"/>
    <w:rsid w:val="00760166"/>
    <w:rsid w:val="0076075B"/>
    <w:rsid w:val="0076082C"/>
    <w:rsid w:val="00761DA9"/>
    <w:rsid w:val="00761E9B"/>
    <w:rsid w:val="00762465"/>
    <w:rsid w:val="00762645"/>
    <w:rsid w:val="00762F5F"/>
    <w:rsid w:val="00763BCF"/>
    <w:rsid w:val="0076403A"/>
    <w:rsid w:val="00766E8D"/>
    <w:rsid w:val="0076788C"/>
    <w:rsid w:val="0076799B"/>
    <w:rsid w:val="00771D75"/>
    <w:rsid w:val="00772CF1"/>
    <w:rsid w:val="007734C8"/>
    <w:rsid w:val="00773503"/>
    <w:rsid w:val="00773717"/>
    <w:rsid w:val="00773A78"/>
    <w:rsid w:val="00773E3A"/>
    <w:rsid w:val="00776E02"/>
    <w:rsid w:val="00780519"/>
    <w:rsid w:val="007810BC"/>
    <w:rsid w:val="007822AE"/>
    <w:rsid w:val="00785161"/>
    <w:rsid w:val="00785E33"/>
    <w:rsid w:val="00786A1D"/>
    <w:rsid w:val="00786DE7"/>
    <w:rsid w:val="007879FF"/>
    <w:rsid w:val="00787DAF"/>
    <w:rsid w:val="00787F10"/>
    <w:rsid w:val="00790555"/>
    <w:rsid w:val="00791BE0"/>
    <w:rsid w:val="00793615"/>
    <w:rsid w:val="00795CE2"/>
    <w:rsid w:val="007972EB"/>
    <w:rsid w:val="00797363"/>
    <w:rsid w:val="007A0FC9"/>
    <w:rsid w:val="007A2121"/>
    <w:rsid w:val="007A22E1"/>
    <w:rsid w:val="007A2B29"/>
    <w:rsid w:val="007A2F63"/>
    <w:rsid w:val="007A3444"/>
    <w:rsid w:val="007A4C42"/>
    <w:rsid w:val="007A51FD"/>
    <w:rsid w:val="007A6383"/>
    <w:rsid w:val="007A6407"/>
    <w:rsid w:val="007A7DF1"/>
    <w:rsid w:val="007B3200"/>
    <w:rsid w:val="007B5D47"/>
    <w:rsid w:val="007B6777"/>
    <w:rsid w:val="007C0CB6"/>
    <w:rsid w:val="007C1190"/>
    <w:rsid w:val="007C12A5"/>
    <w:rsid w:val="007C1DF4"/>
    <w:rsid w:val="007C3308"/>
    <w:rsid w:val="007C34AF"/>
    <w:rsid w:val="007C7E5B"/>
    <w:rsid w:val="007D09A0"/>
    <w:rsid w:val="007D0DFB"/>
    <w:rsid w:val="007D11C1"/>
    <w:rsid w:val="007D4598"/>
    <w:rsid w:val="007D4799"/>
    <w:rsid w:val="007D6769"/>
    <w:rsid w:val="007D6788"/>
    <w:rsid w:val="007D7B1A"/>
    <w:rsid w:val="007E0612"/>
    <w:rsid w:val="007E1115"/>
    <w:rsid w:val="007E21B5"/>
    <w:rsid w:val="007E2768"/>
    <w:rsid w:val="007E48A6"/>
    <w:rsid w:val="007E4AB5"/>
    <w:rsid w:val="007E4DA4"/>
    <w:rsid w:val="007E5EE5"/>
    <w:rsid w:val="007E5FBE"/>
    <w:rsid w:val="007E7223"/>
    <w:rsid w:val="007F02D9"/>
    <w:rsid w:val="007F04BF"/>
    <w:rsid w:val="007F0769"/>
    <w:rsid w:val="007F2958"/>
    <w:rsid w:val="007F323C"/>
    <w:rsid w:val="007F438E"/>
    <w:rsid w:val="007F664C"/>
    <w:rsid w:val="007F6FFA"/>
    <w:rsid w:val="008003A4"/>
    <w:rsid w:val="00801949"/>
    <w:rsid w:val="00802702"/>
    <w:rsid w:val="00803387"/>
    <w:rsid w:val="0080515C"/>
    <w:rsid w:val="008058E0"/>
    <w:rsid w:val="008058F0"/>
    <w:rsid w:val="00805FB6"/>
    <w:rsid w:val="00806328"/>
    <w:rsid w:val="00807098"/>
    <w:rsid w:val="00807502"/>
    <w:rsid w:val="008103AC"/>
    <w:rsid w:val="00810D6A"/>
    <w:rsid w:val="00811AF9"/>
    <w:rsid w:val="00811BE8"/>
    <w:rsid w:val="00811E1E"/>
    <w:rsid w:val="0081201D"/>
    <w:rsid w:val="008138C5"/>
    <w:rsid w:val="00814C84"/>
    <w:rsid w:val="00816063"/>
    <w:rsid w:val="00816363"/>
    <w:rsid w:val="00816D52"/>
    <w:rsid w:val="0081723F"/>
    <w:rsid w:val="00817468"/>
    <w:rsid w:val="008202B9"/>
    <w:rsid w:val="0082072D"/>
    <w:rsid w:val="00821797"/>
    <w:rsid w:val="00821D31"/>
    <w:rsid w:val="00823B0C"/>
    <w:rsid w:val="008249C8"/>
    <w:rsid w:val="00830B11"/>
    <w:rsid w:val="00832102"/>
    <w:rsid w:val="00832C2C"/>
    <w:rsid w:val="00834369"/>
    <w:rsid w:val="008379BC"/>
    <w:rsid w:val="00837A9C"/>
    <w:rsid w:val="00837BAF"/>
    <w:rsid w:val="00842D55"/>
    <w:rsid w:val="00843E85"/>
    <w:rsid w:val="0084448E"/>
    <w:rsid w:val="008444B1"/>
    <w:rsid w:val="00844A98"/>
    <w:rsid w:val="0084510D"/>
    <w:rsid w:val="00847C3D"/>
    <w:rsid w:val="0085006C"/>
    <w:rsid w:val="008504A1"/>
    <w:rsid w:val="008505C8"/>
    <w:rsid w:val="008515F0"/>
    <w:rsid w:val="00852A5E"/>
    <w:rsid w:val="00852BBE"/>
    <w:rsid w:val="00853E28"/>
    <w:rsid w:val="008548EB"/>
    <w:rsid w:val="00855B58"/>
    <w:rsid w:val="008568B3"/>
    <w:rsid w:val="00857889"/>
    <w:rsid w:val="00860253"/>
    <w:rsid w:val="008607E7"/>
    <w:rsid w:val="008610A4"/>
    <w:rsid w:val="00862451"/>
    <w:rsid w:val="0086289F"/>
    <w:rsid w:val="00863606"/>
    <w:rsid w:val="0086383A"/>
    <w:rsid w:val="00863A6D"/>
    <w:rsid w:val="00863FD6"/>
    <w:rsid w:val="00864062"/>
    <w:rsid w:val="00864A22"/>
    <w:rsid w:val="00865A59"/>
    <w:rsid w:val="00865FB4"/>
    <w:rsid w:val="008664F4"/>
    <w:rsid w:val="0086676A"/>
    <w:rsid w:val="00866E09"/>
    <w:rsid w:val="008675B2"/>
    <w:rsid w:val="008675BB"/>
    <w:rsid w:val="00867F37"/>
    <w:rsid w:val="00870027"/>
    <w:rsid w:val="0087035B"/>
    <w:rsid w:val="008718F6"/>
    <w:rsid w:val="008733F9"/>
    <w:rsid w:val="008769B1"/>
    <w:rsid w:val="00877FC7"/>
    <w:rsid w:val="0088023A"/>
    <w:rsid w:val="00880673"/>
    <w:rsid w:val="00882452"/>
    <w:rsid w:val="00882F44"/>
    <w:rsid w:val="00883D4E"/>
    <w:rsid w:val="008842C8"/>
    <w:rsid w:val="00884331"/>
    <w:rsid w:val="008847B6"/>
    <w:rsid w:val="00884BBA"/>
    <w:rsid w:val="0088515B"/>
    <w:rsid w:val="00885A28"/>
    <w:rsid w:val="00886DA4"/>
    <w:rsid w:val="0088775D"/>
    <w:rsid w:val="0089051D"/>
    <w:rsid w:val="00892C8E"/>
    <w:rsid w:val="00895C63"/>
    <w:rsid w:val="00895CBD"/>
    <w:rsid w:val="0089638F"/>
    <w:rsid w:val="008A099D"/>
    <w:rsid w:val="008A1BC9"/>
    <w:rsid w:val="008A21AC"/>
    <w:rsid w:val="008A2DF8"/>
    <w:rsid w:val="008A2FFE"/>
    <w:rsid w:val="008A3CA9"/>
    <w:rsid w:val="008A4D1C"/>
    <w:rsid w:val="008A5613"/>
    <w:rsid w:val="008A594E"/>
    <w:rsid w:val="008A5FBA"/>
    <w:rsid w:val="008A7813"/>
    <w:rsid w:val="008A7E89"/>
    <w:rsid w:val="008B0454"/>
    <w:rsid w:val="008B1330"/>
    <w:rsid w:val="008B258F"/>
    <w:rsid w:val="008B2874"/>
    <w:rsid w:val="008B2AE0"/>
    <w:rsid w:val="008B2E92"/>
    <w:rsid w:val="008B3A83"/>
    <w:rsid w:val="008B415E"/>
    <w:rsid w:val="008B5B67"/>
    <w:rsid w:val="008B6242"/>
    <w:rsid w:val="008B674E"/>
    <w:rsid w:val="008B7EDD"/>
    <w:rsid w:val="008C0410"/>
    <w:rsid w:val="008C1BAF"/>
    <w:rsid w:val="008C1DFB"/>
    <w:rsid w:val="008C1EC1"/>
    <w:rsid w:val="008C21C4"/>
    <w:rsid w:val="008C2362"/>
    <w:rsid w:val="008C32E1"/>
    <w:rsid w:val="008C364F"/>
    <w:rsid w:val="008C48D6"/>
    <w:rsid w:val="008C55CA"/>
    <w:rsid w:val="008C5A89"/>
    <w:rsid w:val="008C5FEA"/>
    <w:rsid w:val="008C6616"/>
    <w:rsid w:val="008C6805"/>
    <w:rsid w:val="008D0A27"/>
    <w:rsid w:val="008D10AA"/>
    <w:rsid w:val="008D227B"/>
    <w:rsid w:val="008D2CA0"/>
    <w:rsid w:val="008D3D3C"/>
    <w:rsid w:val="008D3DDD"/>
    <w:rsid w:val="008D3F3D"/>
    <w:rsid w:val="008D4CBB"/>
    <w:rsid w:val="008D4D62"/>
    <w:rsid w:val="008D5448"/>
    <w:rsid w:val="008D54D1"/>
    <w:rsid w:val="008D5818"/>
    <w:rsid w:val="008D66B9"/>
    <w:rsid w:val="008D693F"/>
    <w:rsid w:val="008E1422"/>
    <w:rsid w:val="008E21FA"/>
    <w:rsid w:val="008E652E"/>
    <w:rsid w:val="008E6A05"/>
    <w:rsid w:val="008E7647"/>
    <w:rsid w:val="008F0E94"/>
    <w:rsid w:val="008F13C6"/>
    <w:rsid w:val="008F1615"/>
    <w:rsid w:val="008F3BB0"/>
    <w:rsid w:val="008F3D82"/>
    <w:rsid w:val="008F400C"/>
    <w:rsid w:val="008F43B4"/>
    <w:rsid w:val="008F4724"/>
    <w:rsid w:val="008F644D"/>
    <w:rsid w:val="008F6689"/>
    <w:rsid w:val="008F6BB9"/>
    <w:rsid w:val="008F79AD"/>
    <w:rsid w:val="00901D31"/>
    <w:rsid w:val="00902B12"/>
    <w:rsid w:val="009038C3"/>
    <w:rsid w:val="00903A46"/>
    <w:rsid w:val="00903E4A"/>
    <w:rsid w:val="00904011"/>
    <w:rsid w:val="00906EE2"/>
    <w:rsid w:val="00906FD8"/>
    <w:rsid w:val="00911FF4"/>
    <w:rsid w:val="00912091"/>
    <w:rsid w:val="0091211D"/>
    <w:rsid w:val="00912E99"/>
    <w:rsid w:val="009151C3"/>
    <w:rsid w:val="00916085"/>
    <w:rsid w:val="0091623B"/>
    <w:rsid w:val="009163BC"/>
    <w:rsid w:val="00916D2B"/>
    <w:rsid w:val="00921024"/>
    <w:rsid w:val="0092174F"/>
    <w:rsid w:val="0092324E"/>
    <w:rsid w:val="00923357"/>
    <w:rsid w:val="0092415E"/>
    <w:rsid w:val="00925F6A"/>
    <w:rsid w:val="00926C99"/>
    <w:rsid w:val="00926F56"/>
    <w:rsid w:val="0092708C"/>
    <w:rsid w:val="0092724C"/>
    <w:rsid w:val="009276D0"/>
    <w:rsid w:val="00930551"/>
    <w:rsid w:val="00930F75"/>
    <w:rsid w:val="00930FFC"/>
    <w:rsid w:val="00931DA8"/>
    <w:rsid w:val="009325B9"/>
    <w:rsid w:val="009328EC"/>
    <w:rsid w:val="00932FB4"/>
    <w:rsid w:val="009331C6"/>
    <w:rsid w:val="00934092"/>
    <w:rsid w:val="009341FB"/>
    <w:rsid w:val="009350E2"/>
    <w:rsid w:val="00935C00"/>
    <w:rsid w:val="00937BAD"/>
    <w:rsid w:val="00937E73"/>
    <w:rsid w:val="0094033F"/>
    <w:rsid w:val="00940ADC"/>
    <w:rsid w:val="0094106A"/>
    <w:rsid w:val="00941B77"/>
    <w:rsid w:val="00942943"/>
    <w:rsid w:val="0094358F"/>
    <w:rsid w:val="00943A2E"/>
    <w:rsid w:val="00943F7C"/>
    <w:rsid w:val="00944190"/>
    <w:rsid w:val="00944683"/>
    <w:rsid w:val="00947B63"/>
    <w:rsid w:val="009500CC"/>
    <w:rsid w:val="0095040D"/>
    <w:rsid w:val="009506F1"/>
    <w:rsid w:val="009509FE"/>
    <w:rsid w:val="00952F4C"/>
    <w:rsid w:val="00953394"/>
    <w:rsid w:val="00953B87"/>
    <w:rsid w:val="00954A2A"/>
    <w:rsid w:val="009567F7"/>
    <w:rsid w:val="00956EE7"/>
    <w:rsid w:val="0095759E"/>
    <w:rsid w:val="00957EAC"/>
    <w:rsid w:val="009612C2"/>
    <w:rsid w:val="009617B8"/>
    <w:rsid w:val="00962408"/>
    <w:rsid w:val="00965534"/>
    <w:rsid w:val="009658BF"/>
    <w:rsid w:val="00965946"/>
    <w:rsid w:val="00965EF6"/>
    <w:rsid w:val="00966376"/>
    <w:rsid w:val="009664DB"/>
    <w:rsid w:val="00966CEE"/>
    <w:rsid w:val="0096700D"/>
    <w:rsid w:val="0096705D"/>
    <w:rsid w:val="009677C2"/>
    <w:rsid w:val="00970762"/>
    <w:rsid w:val="009708E8"/>
    <w:rsid w:val="00971264"/>
    <w:rsid w:val="00973AC4"/>
    <w:rsid w:val="0097429D"/>
    <w:rsid w:val="00975A6D"/>
    <w:rsid w:val="00976479"/>
    <w:rsid w:val="009766D3"/>
    <w:rsid w:val="00976D80"/>
    <w:rsid w:val="00977C39"/>
    <w:rsid w:val="00981079"/>
    <w:rsid w:val="0098135B"/>
    <w:rsid w:val="0098193D"/>
    <w:rsid w:val="00981BAF"/>
    <w:rsid w:val="00982696"/>
    <w:rsid w:val="00983638"/>
    <w:rsid w:val="009847F3"/>
    <w:rsid w:val="00984A15"/>
    <w:rsid w:val="00984C6F"/>
    <w:rsid w:val="00985704"/>
    <w:rsid w:val="0098702E"/>
    <w:rsid w:val="00987FDD"/>
    <w:rsid w:val="00990C32"/>
    <w:rsid w:val="0099176D"/>
    <w:rsid w:val="00992A9B"/>
    <w:rsid w:val="009930FF"/>
    <w:rsid w:val="009939EC"/>
    <w:rsid w:val="00993C99"/>
    <w:rsid w:val="00994529"/>
    <w:rsid w:val="0099552B"/>
    <w:rsid w:val="00995575"/>
    <w:rsid w:val="00996139"/>
    <w:rsid w:val="0099634C"/>
    <w:rsid w:val="009A0517"/>
    <w:rsid w:val="009A0716"/>
    <w:rsid w:val="009A0980"/>
    <w:rsid w:val="009A0AC9"/>
    <w:rsid w:val="009A1907"/>
    <w:rsid w:val="009A2855"/>
    <w:rsid w:val="009A309D"/>
    <w:rsid w:val="009A35C7"/>
    <w:rsid w:val="009A3883"/>
    <w:rsid w:val="009A7CAC"/>
    <w:rsid w:val="009B2C12"/>
    <w:rsid w:val="009B55AA"/>
    <w:rsid w:val="009B5E62"/>
    <w:rsid w:val="009B637C"/>
    <w:rsid w:val="009C0580"/>
    <w:rsid w:val="009C2E91"/>
    <w:rsid w:val="009C2F2A"/>
    <w:rsid w:val="009C3512"/>
    <w:rsid w:val="009C3BCC"/>
    <w:rsid w:val="009C3E18"/>
    <w:rsid w:val="009C5534"/>
    <w:rsid w:val="009C6E18"/>
    <w:rsid w:val="009C7AC3"/>
    <w:rsid w:val="009C7B29"/>
    <w:rsid w:val="009D129E"/>
    <w:rsid w:val="009D173B"/>
    <w:rsid w:val="009D1A57"/>
    <w:rsid w:val="009D249E"/>
    <w:rsid w:val="009D34AC"/>
    <w:rsid w:val="009D45A6"/>
    <w:rsid w:val="009D54C2"/>
    <w:rsid w:val="009D73A4"/>
    <w:rsid w:val="009D7605"/>
    <w:rsid w:val="009E1961"/>
    <w:rsid w:val="009E2917"/>
    <w:rsid w:val="009E300E"/>
    <w:rsid w:val="009E3238"/>
    <w:rsid w:val="009E6980"/>
    <w:rsid w:val="009E780C"/>
    <w:rsid w:val="009F018D"/>
    <w:rsid w:val="009F13E4"/>
    <w:rsid w:val="009F14AA"/>
    <w:rsid w:val="009F3911"/>
    <w:rsid w:val="009F39CD"/>
    <w:rsid w:val="009F5A72"/>
    <w:rsid w:val="009F5A80"/>
    <w:rsid w:val="009F7AAF"/>
    <w:rsid w:val="009F7DFD"/>
    <w:rsid w:val="00A00140"/>
    <w:rsid w:val="00A0080D"/>
    <w:rsid w:val="00A0136D"/>
    <w:rsid w:val="00A01ADE"/>
    <w:rsid w:val="00A01C06"/>
    <w:rsid w:val="00A05592"/>
    <w:rsid w:val="00A07120"/>
    <w:rsid w:val="00A0776B"/>
    <w:rsid w:val="00A077D1"/>
    <w:rsid w:val="00A100B3"/>
    <w:rsid w:val="00A1040A"/>
    <w:rsid w:val="00A10543"/>
    <w:rsid w:val="00A116A2"/>
    <w:rsid w:val="00A11828"/>
    <w:rsid w:val="00A129E0"/>
    <w:rsid w:val="00A12E7B"/>
    <w:rsid w:val="00A13014"/>
    <w:rsid w:val="00A134A9"/>
    <w:rsid w:val="00A13BB9"/>
    <w:rsid w:val="00A142F0"/>
    <w:rsid w:val="00A14B05"/>
    <w:rsid w:val="00A14BF2"/>
    <w:rsid w:val="00A1656D"/>
    <w:rsid w:val="00A17866"/>
    <w:rsid w:val="00A17B67"/>
    <w:rsid w:val="00A20ED7"/>
    <w:rsid w:val="00A226DF"/>
    <w:rsid w:val="00A22C9B"/>
    <w:rsid w:val="00A23DB9"/>
    <w:rsid w:val="00A248DA"/>
    <w:rsid w:val="00A313AB"/>
    <w:rsid w:val="00A318C4"/>
    <w:rsid w:val="00A31E56"/>
    <w:rsid w:val="00A32539"/>
    <w:rsid w:val="00A34092"/>
    <w:rsid w:val="00A351F2"/>
    <w:rsid w:val="00A3635E"/>
    <w:rsid w:val="00A40A0A"/>
    <w:rsid w:val="00A421BF"/>
    <w:rsid w:val="00A422A1"/>
    <w:rsid w:val="00A43B3D"/>
    <w:rsid w:val="00A44612"/>
    <w:rsid w:val="00A4703D"/>
    <w:rsid w:val="00A475A5"/>
    <w:rsid w:val="00A5213B"/>
    <w:rsid w:val="00A52848"/>
    <w:rsid w:val="00A52BBB"/>
    <w:rsid w:val="00A53182"/>
    <w:rsid w:val="00A53637"/>
    <w:rsid w:val="00A54A02"/>
    <w:rsid w:val="00A5602E"/>
    <w:rsid w:val="00A5630B"/>
    <w:rsid w:val="00A57B79"/>
    <w:rsid w:val="00A57C94"/>
    <w:rsid w:val="00A6218A"/>
    <w:rsid w:val="00A63454"/>
    <w:rsid w:val="00A640C4"/>
    <w:rsid w:val="00A654DF"/>
    <w:rsid w:val="00A66086"/>
    <w:rsid w:val="00A6643E"/>
    <w:rsid w:val="00A66822"/>
    <w:rsid w:val="00A673C2"/>
    <w:rsid w:val="00A70F04"/>
    <w:rsid w:val="00A7327D"/>
    <w:rsid w:val="00A7383D"/>
    <w:rsid w:val="00A7407B"/>
    <w:rsid w:val="00A743C8"/>
    <w:rsid w:val="00A751E1"/>
    <w:rsid w:val="00A82719"/>
    <w:rsid w:val="00A827DC"/>
    <w:rsid w:val="00A8364D"/>
    <w:rsid w:val="00A83754"/>
    <w:rsid w:val="00A83E81"/>
    <w:rsid w:val="00A84586"/>
    <w:rsid w:val="00A8795C"/>
    <w:rsid w:val="00A902C2"/>
    <w:rsid w:val="00A903B1"/>
    <w:rsid w:val="00A90A7E"/>
    <w:rsid w:val="00A90E05"/>
    <w:rsid w:val="00A92143"/>
    <w:rsid w:val="00A926B1"/>
    <w:rsid w:val="00A94115"/>
    <w:rsid w:val="00A94171"/>
    <w:rsid w:val="00A949DB"/>
    <w:rsid w:val="00A96CC0"/>
    <w:rsid w:val="00A97D1F"/>
    <w:rsid w:val="00AA042A"/>
    <w:rsid w:val="00AA33D0"/>
    <w:rsid w:val="00AA5016"/>
    <w:rsid w:val="00AA55A5"/>
    <w:rsid w:val="00AA69C3"/>
    <w:rsid w:val="00AA727E"/>
    <w:rsid w:val="00AB0FFB"/>
    <w:rsid w:val="00AB189A"/>
    <w:rsid w:val="00AB4F12"/>
    <w:rsid w:val="00AB6608"/>
    <w:rsid w:val="00AB7A88"/>
    <w:rsid w:val="00AC0619"/>
    <w:rsid w:val="00AC0A2E"/>
    <w:rsid w:val="00AC22C6"/>
    <w:rsid w:val="00AC26CC"/>
    <w:rsid w:val="00AC285C"/>
    <w:rsid w:val="00AC2C50"/>
    <w:rsid w:val="00AC3367"/>
    <w:rsid w:val="00AC3BAB"/>
    <w:rsid w:val="00AC40E0"/>
    <w:rsid w:val="00AC575C"/>
    <w:rsid w:val="00AC728B"/>
    <w:rsid w:val="00AC7339"/>
    <w:rsid w:val="00AC7DD2"/>
    <w:rsid w:val="00AD1181"/>
    <w:rsid w:val="00AD5CF9"/>
    <w:rsid w:val="00AD641C"/>
    <w:rsid w:val="00AD771B"/>
    <w:rsid w:val="00AE068B"/>
    <w:rsid w:val="00AE2C67"/>
    <w:rsid w:val="00AE419E"/>
    <w:rsid w:val="00AE4C94"/>
    <w:rsid w:val="00AE4E8F"/>
    <w:rsid w:val="00AE576D"/>
    <w:rsid w:val="00AE5919"/>
    <w:rsid w:val="00AF107B"/>
    <w:rsid w:val="00AF2F57"/>
    <w:rsid w:val="00AF66DB"/>
    <w:rsid w:val="00B00FFC"/>
    <w:rsid w:val="00B035EC"/>
    <w:rsid w:val="00B03713"/>
    <w:rsid w:val="00B03C01"/>
    <w:rsid w:val="00B03C8C"/>
    <w:rsid w:val="00B0536C"/>
    <w:rsid w:val="00B0564D"/>
    <w:rsid w:val="00B06893"/>
    <w:rsid w:val="00B07162"/>
    <w:rsid w:val="00B07508"/>
    <w:rsid w:val="00B07D88"/>
    <w:rsid w:val="00B10493"/>
    <w:rsid w:val="00B10568"/>
    <w:rsid w:val="00B10592"/>
    <w:rsid w:val="00B12B16"/>
    <w:rsid w:val="00B1327B"/>
    <w:rsid w:val="00B13AB5"/>
    <w:rsid w:val="00B14461"/>
    <w:rsid w:val="00B148F5"/>
    <w:rsid w:val="00B15B6F"/>
    <w:rsid w:val="00B16AC3"/>
    <w:rsid w:val="00B172A7"/>
    <w:rsid w:val="00B17859"/>
    <w:rsid w:val="00B20C9E"/>
    <w:rsid w:val="00B218D4"/>
    <w:rsid w:val="00B22F9F"/>
    <w:rsid w:val="00B23337"/>
    <w:rsid w:val="00B242B4"/>
    <w:rsid w:val="00B24806"/>
    <w:rsid w:val="00B26598"/>
    <w:rsid w:val="00B26DF6"/>
    <w:rsid w:val="00B27D66"/>
    <w:rsid w:val="00B31C58"/>
    <w:rsid w:val="00B31C90"/>
    <w:rsid w:val="00B3284A"/>
    <w:rsid w:val="00B3345A"/>
    <w:rsid w:val="00B35205"/>
    <w:rsid w:val="00B36C48"/>
    <w:rsid w:val="00B40840"/>
    <w:rsid w:val="00B40C6E"/>
    <w:rsid w:val="00B40D61"/>
    <w:rsid w:val="00B41328"/>
    <w:rsid w:val="00B4356A"/>
    <w:rsid w:val="00B44C51"/>
    <w:rsid w:val="00B513A5"/>
    <w:rsid w:val="00B516E5"/>
    <w:rsid w:val="00B5197B"/>
    <w:rsid w:val="00B51DC5"/>
    <w:rsid w:val="00B52629"/>
    <w:rsid w:val="00B52BF5"/>
    <w:rsid w:val="00B52CE5"/>
    <w:rsid w:val="00B548A1"/>
    <w:rsid w:val="00B54B36"/>
    <w:rsid w:val="00B56B96"/>
    <w:rsid w:val="00B631B6"/>
    <w:rsid w:val="00B64462"/>
    <w:rsid w:val="00B648D3"/>
    <w:rsid w:val="00B66262"/>
    <w:rsid w:val="00B673B0"/>
    <w:rsid w:val="00B70349"/>
    <w:rsid w:val="00B704A2"/>
    <w:rsid w:val="00B7068E"/>
    <w:rsid w:val="00B71825"/>
    <w:rsid w:val="00B71C4B"/>
    <w:rsid w:val="00B71E29"/>
    <w:rsid w:val="00B77F3A"/>
    <w:rsid w:val="00B80C4F"/>
    <w:rsid w:val="00B8123D"/>
    <w:rsid w:val="00B818DA"/>
    <w:rsid w:val="00B83DA6"/>
    <w:rsid w:val="00B85329"/>
    <w:rsid w:val="00B853CC"/>
    <w:rsid w:val="00B85EC3"/>
    <w:rsid w:val="00B86465"/>
    <w:rsid w:val="00B86468"/>
    <w:rsid w:val="00B86817"/>
    <w:rsid w:val="00B87A87"/>
    <w:rsid w:val="00B90B25"/>
    <w:rsid w:val="00B91082"/>
    <w:rsid w:val="00B920C8"/>
    <w:rsid w:val="00B92712"/>
    <w:rsid w:val="00B92B68"/>
    <w:rsid w:val="00B9317C"/>
    <w:rsid w:val="00B946BB"/>
    <w:rsid w:val="00B94DF7"/>
    <w:rsid w:val="00B96AE6"/>
    <w:rsid w:val="00B970E1"/>
    <w:rsid w:val="00B97191"/>
    <w:rsid w:val="00B97740"/>
    <w:rsid w:val="00BA5E6E"/>
    <w:rsid w:val="00BB3031"/>
    <w:rsid w:val="00BB3189"/>
    <w:rsid w:val="00BB4096"/>
    <w:rsid w:val="00BB6124"/>
    <w:rsid w:val="00BB6288"/>
    <w:rsid w:val="00BB65AB"/>
    <w:rsid w:val="00BC005B"/>
    <w:rsid w:val="00BC0741"/>
    <w:rsid w:val="00BC0F57"/>
    <w:rsid w:val="00BC1A6E"/>
    <w:rsid w:val="00BC298D"/>
    <w:rsid w:val="00BC374D"/>
    <w:rsid w:val="00BC4413"/>
    <w:rsid w:val="00BC4991"/>
    <w:rsid w:val="00BC4FB1"/>
    <w:rsid w:val="00BC5D2A"/>
    <w:rsid w:val="00BC70B1"/>
    <w:rsid w:val="00BC7353"/>
    <w:rsid w:val="00BD006D"/>
    <w:rsid w:val="00BD0CE0"/>
    <w:rsid w:val="00BD0DC6"/>
    <w:rsid w:val="00BD0E54"/>
    <w:rsid w:val="00BD16D9"/>
    <w:rsid w:val="00BD18E9"/>
    <w:rsid w:val="00BD4354"/>
    <w:rsid w:val="00BD62D2"/>
    <w:rsid w:val="00BD65B1"/>
    <w:rsid w:val="00BD7C77"/>
    <w:rsid w:val="00BE07DE"/>
    <w:rsid w:val="00BE131F"/>
    <w:rsid w:val="00BE2627"/>
    <w:rsid w:val="00BE2812"/>
    <w:rsid w:val="00BE31CE"/>
    <w:rsid w:val="00BE4CA9"/>
    <w:rsid w:val="00BE728C"/>
    <w:rsid w:val="00BE7FB6"/>
    <w:rsid w:val="00BF0276"/>
    <w:rsid w:val="00BF0383"/>
    <w:rsid w:val="00BF066F"/>
    <w:rsid w:val="00BF1A9A"/>
    <w:rsid w:val="00BF258B"/>
    <w:rsid w:val="00BF29FA"/>
    <w:rsid w:val="00C00E79"/>
    <w:rsid w:val="00C0278A"/>
    <w:rsid w:val="00C0371C"/>
    <w:rsid w:val="00C047E2"/>
    <w:rsid w:val="00C051A9"/>
    <w:rsid w:val="00C06A95"/>
    <w:rsid w:val="00C06BE8"/>
    <w:rsid w:val="00C07356"/>
    <w:rsid w:val="00C100A3"/>
    <w:rsid w:val="00C1112B"/>
    <w:rsid w:val="00C11891"/>
    <w:rsid w:val="00C11957"/>
    <w:rsid w:val="00C1412B"/>
    <w:rsid w:val="00C16692"/>
    <w:rsid w:val="00C16856"/>
    <w:rsid w:val="00C20DB3"/>
    <w:rsid w:val="00C220F1"/>
    <w:rsid w:val="00C2261A"/>
    <w:rsid w:val="00C22A32"/>
    <w:rsid w:val="00C23D94"/>
    <w:rsid w:val="00C24DA9"/>
    <w:rsid w:val="00C25004"/>
    <w:rsid w:val="00C25269"/>
    <w:rsid w:val="00C25EB9"/>
    <w:rsid w:val="00C272FB"/>
    <w:rsid w:val="00C32E17"/>
    <w:rsid w:val="00C3427E"/>
    <w:rsid w:val="00C346CB"/>
    <w:rsid w:val="00C34DBA"/>
    <w:rsid w:val="00C3548A"/>
    <w:rsid w:val="00C35821"/>
    <w:rsid w:val="00C35B71"/>
    <w:rsid w:val="00C37B1B"/>
    <w:rsid w:val="00C42CCE"/>
    <w:rsid w:val="00C42FBF"/>
    <w:rsid w:val="00C443F6"/>
    <w:rsid w:val="00C4494A"/>
    <w:rsid w:val="00C44AD0"/>
    <w:rsid w:val="00C44AEA"/>
    <w:rsid w:val="00C44F2B"/>
    <w:rsid w:val="00C451C0"/>
    <w:rsid w:val="00C45413"/>
    <w:rsid w:val="00C46442"/>
    <w:rsid w:val="00C4764A"/>
    <w:rsid w:val="00C50220"/>
    <w:rsid w:val="00C51BE0"/>
    <w:rsid w:val="00C52AD8"/>
    <w:rsid w:val="00C539D8"/>
    <w:rsid w:val="00C53FAD"/>
    <w:rsid w:val="00C54E9E"/>
    <w:rsid w:val="00C56231"/>
    <w:rsid w:val="00C5667A"/>
    <w:rsid w:val="00C5684A"/>
    <w:rsid w:val="00C618CD"/>
    <w:rsid w:val="00C61A59"/>
    <w:rsid w:val="00C630A2"/>
    <w:rsid w:val="00C6339D"/>
    <w:rsid w:val="00C64F6B"/>
    <w:rsid w:val="00C65210"/>
    <w:rsid w:val="00C6559E"/>
    <w:rsid w:val="00C67996"/>
    <w:rsid w:val="00C701AE"/>
    <w:rsid w:val="00C70C9D"/>
    <w:rsid w:val="00C71228"/>
    <w:rsid w:val="00C71381"/>
    <w:rsid w:val="00C72735"/>
    <w:rsid w:val="00C72FD6"/>
    <w:rsid w:val="00C733A0"/>
    <w:rsid w:val="00C75A27"/>
    <w:rsid w:val="00C77480"/>
    <w:rsid w:val="00C80E49"/>
    <w:rsid w:val="00C8168F"/>
    <w:rsid w:val="00C81F55"/>
    <w:rsid w:val="00C826F3"/>
    <w:rsid w:val="00C86978"/>
    <w:rsid w:val="00C87C27"/>
    <w:rsid w:val="00C902D4"/>
    <w:rsid w:val="00C90A31"/>
    <w:rsid w:val="00C90CF1"/>
    <w:rsid w:val="00C92192"/>
    <w:rsid w:val="00C922FA"/>
    <w:rsid w:val="00C93018"/>
    <w:rsid w:val="00C930F3"/>
    <w:rsid w:val="00C93B26"/>
    <w:rsid w:val="00C93D10"/>
    <w:rsid w:val="00C94735"/>
    <w:rsid w:val="00C95938"/>
    <w:rsid w:val="00C96F12"/>
    <w:rsid w:val="00C97075"/>
    <w:rsid w:val="00C97F0F"/>
    <w:rsid w:val="00CA00F6"/>
    <w:rsid w:val="00CA0379"/>
    <w:rsid w:val="00CA0AAD"/>
    <w:rsid w:val="00CA1D2D"/>
    <w:rsid w:val="00CA21F8"/>
    <w:rsid w:val="00CA3332"/>
    <w:rsid w:val="00CA4CDE"/>
    <w:rsid w:val="00CA64FD"/>
    <w:rsid w:val="00CA66DE"/>
    <w:rsid w:val="00CA6865"/>
    <w:rsid w:val="00CA7BB3"/>
    <w:rsid w:val="00CA7FBF"/>
    <w:rsid w:val="00CB0074"/>
    <w:rsid w:val="00CB05B1"/>
    <w:rsid w:val="00CB1356"/>
    <w:rsid w:val="00CB16B9"/>
    <w:rsid w:val="00CB2B24"/>
    <w:rsid w:val="00CB37BE"/>
    <w:rsid w:val="00CB3F7E"/>
    <w:rsid w:val="00CB4BF5"/>
    <w:rsid w:val="00CB4DAA"/>
    <w:rsid w:val="00CB61AD"/>
    <w:rsid w:val="00CC2110"/>
    <w:rsid w:val="00CC3828"/>
    <w:rsid w:val="00CC5B2B"/>
    <w:rsid w:val="00CC5C73"/>
    <w:rsid w:val="00CC69D9"/>
    <w:rsid w:val="00CC6C52"/>
    <w:rsid w:val="00CC7FA3"/>
    <w:rsid w:val="00CD02BA"/>
    <w:rsid w:val="00CD289D"/>
    <w:rsid w:val="00CD3597"/>
    <w:rsid w:val="00CD38E5"/>
    <w:rsid w:val="00CD39C8"/>
    <w:rsid w:val="00CD44BD"/>
    <w:rsid w:val="00CD547F"/>
    <w:rsid w:val="00CD5563"/>
    <w:rsid w:val="00CD620E"/>
    <w:rsid w:val="00CD6239"/>
    <w:rsid w:val="00CD6C63"/>
    <w:rsid w:val="00CD7858"/>
    <w:rsid w:val="00CE0839"/>
    <w:rsid w:val="00CE0D78"/>
    <w:rsid w:val="00CE1951"/>
    <w:rsid w:val="00CE1FF7"/>
    <w:rsid w:val="00CE38E5"/>
    <w:rsid w:val="00CE3B19"/>
    <w:rsid w:val="00CE5219"/>
    <w:rsid w:val="00CE61D9"/>
    <w:rsid w:val="00CE72D0"/>
    <w:rsid w:val="00CE7F61"/>
    <w:rsid w:val="00CF072A"/>
    <w:rsid w:val="00CF28CB"/>
    <w:rsid w:val="00CF2EB7"/>
    <w:rsid w:val="00CF31D4"/>
    <w:rsid w:val="00CF41DD"/>
    <w:rsid w:val="00CF455C"/>
    <w:rsid w:val="00CF4C28"/>
    <w:rsid w:val="00CF5581"/>
    <w:rsid w:val="00CF5F20"/>
    <w:rsid w:val="00CF6FCA"/>
    <w:rsid w:val="00CF70B0"/>
    <w:rsid w:val="00CF7D83"/>
    <w:rsid w:val="00D00C1B"/>
    <w:rsid w:val="00D01348"/>
    <w:rsid w:val="00D01A33"/>
    <w:rsid w:val="00D023C8"/>
    <w:rsid w:val="00D0324B"/>
    <w:rsid w:val="00D03815"/>
    <w:rsid w:val="00D03DF4"/>
    <w:rsid w:val="00D05445"/>
    <w:rsid w:val="00D05897"/>
    <w:rsid w:val="00D06F6B"/>
    <w:rsid w:val="00D06F75"/>
    <w:rsid w:val="00D0731D"/>
    <w:rsid w:val="00D104A0"/>
    <w:rsid w:val="00D10759"/>
    <w:rsid w:val="00D10F0A"/>
    <w:rsid w:val="00D11663"/>
    <w:rsid w:val="00D11CE5"/>
    <w:rsid w:val="00D1743B"/>
    <w:rsid w:val="00D17DF1"/>
    <w:rsid w:val="00D208E7"/>
    <w:rsid w:val="00D22796"/>
    <w:rsid w:val="00D22C16"/>
    <w:rsid w:val="00D2370B"/>
    <w:rsid w:val="00D2623C"/>
    <w:rsid w:val="00D2798A"/>
    <w:rsid w:val="00D308DA"/>
    <w:rsid w:val="00D30CA3"/>
    <w:rsid w:val="00D31BE3"/>
    <w:rsid w:val="00D32184"/>
    <w:rsid w:val="00D329AD"/>
    <w:rsid w:val="00D34137"/>
    <w:rsid w:val="00D3454B"/>
    <w:rsid w:val="00D34B2A"/>
    <w:rsid w:val="00D355B5"/>
    <w:rsid w:val="00D356D4"/>
    <w:rsid w:val="00D37609"/>
    <w:rsid w:val="00D4050D"/>
    <w:rsid w:val="00D408D7"/>
    <w:rsid w:val="00D43640"/>
    <w:rsid w:val="00D4449F"/>
    <w:rsid w:val="00D46EF1"/>
    <w:rsid w:val="00D46FA1"/>
    <w:rsid w:val="00D47ACC"/>
    <w:rsid w:val="00D50C3E"/>
    <w:rsid w:val="00D53154"/>
    <w:rsid w:val="00D53DB8"/>
    <w:rsid w:val="00D546A8"/>
    <w:rsid w:val="00D56E59"/>
    <w:rsid w:val="00D57E22"/>
    <w:rsid w:val="00D60F88"/>
    <w:rsid w:val="00D61F71"/>
    <w:rsid w:val="00D62C75"/>
    <w:rsid w:val="00D6458F"/>
    <w:rsid w:val="00D64AE3"/>
    <w:rsid w:val="00D6526B"/>
    <w:rsid w:val="00D654DA"/>
    <w:rsid w:val="00D65F92"/>
    <w:rsid w:val="00D66DAE"/>
    <w:rsid w:val="00D67148"/>
    <w:rsid w:val="00D70815"/>
    <w:rsid w:val="00D70928"/>
    <w:rsid w:val="00D711FE"/>
    <w:rsid w:val="00D71852"/>
    <w:rsid w:val="00D7275D"/>
    <w:rsid w:val="00D73BDA"/>
    <w:rsid w:val="00D74ECC"/>
    <w:rsid w:val="00D761FB"/>
    <w:rsid w:val="00D76DC3"/>
    <w:rsid w:val="00D777D7"/>
    <w:rsid w:val="00D866CF"/>
    <w:rsid w:val="00D870A9"/>
    <w:rsid w:val="00D877B6"/>
    <w:rsid w:val="00D8790E"/>
    <w:rsid w:val="00D87BDC"/>
    <w:rsid w:val="00D87CEF"/>
    <w:rsid w:val="00D9415E"/>
    <w:rsid w:val="00D94BB3"/>
    <w:rsid w:val="00D95B7E"/>
    <w:rsid w:val="00D97922"/>
    <w:rsid w:val="00D9797A"/>
    <w:rsid w:val="00DA1071"/>
    <w:rsid w:val="00DA11E0"/>
    <w:rsid w:val="00DA12F4"/>
    <w:rsid w:val="00DA56D1"/>
    <w:rsid w:val="00DA6048"/>
    <w:rsid w:val="00DA7374"/>
    <w:rsid w:val="00DB1BA5"/>
    <w:rsid w:val="00DB25D9"/>
    <w:rsid w:val="00DB3FED"/>
    <w:rsid w:val="00DB435B"/>
    <w:rsid w:val="00DB4CEB"/>
    <w:rsid w:val="00DB4D33"/>
    <w:rsid w:val="00DB4FD8"/>
    <w:rsid w:val="00DB5B3B"/>
    <w:rsid w:val="00DB616A"/>
    <w:rsid w:val="00DB659F"/>
    <w:rsid w:val="00DB7107"/>
    <w:rsid w:val="00DC11A6"/>
    <w:rsid w:val="00DC1A41"/>
    <w:rsid w:val="00DC2CD5"/>
    <w:rsid w:val="00DC52E2"/>
    <w:rsid w:val="00DC5A2A"/>
    <w:rsid w:val="00DC635F"/>
    <w:rsid w:val="00DC684C"/>
    <w:rsid w:val="00DC6E40"/>
    <w:rsid w:val="00DC7B19"/>
    <w:rsid w:val="00DD0501"/>
    <w:rsid w:val="00DD0530"/>
    <w:rsid w:val="00DD0A0C"/>
    <w:rsid w:val="00DD1108"/>
    <w:rsid w:val="00DD3EFB"/>
    <w:rsid w:val="00DD41E5"/>
    <w:rsid w:val="00DD4365"/>
    <w:rsid w:val="00DD546E"/>
    <w:rsid w:val="00DE04B3"/>
    <w:rsid w:val="00DE050B"/>
    <w:rsid w:val="00DE0DE1"/>
    <w:rsid w:val="00DE163A"/>
    <w:rsid w:val="00DE1868"/>
    <w:rsid w:val="00DE1AB0"/>
    <w:rsid w:val="00DE1AE1"/>
    <w:rsid w:val="00DE1B72"/>
    <w:rsid w:val="00DE2397"/>
    <w:rsid w:val="00DE361A"/>
    <w:rsid w:val="00DE3F22"/>
    <w:rsid w:val="00DE4A20"/>
    <w:rsid w:val="00DE58A6"/>
    <w:rsid w:val="00DF0B99"/>
    <w:rsid w:val="00DF1D91"/>
    <w:rsid w:val="00DF25B5"/>
    <w:rsid w:val="00DF32A5"/>
    <w:rsid w:val="00DF3751"/>
    <w:rsid w:val="00DF456A"/>
    <w:rsid w:val="00DF4D8C"/>
    <w:rsid w:val="00DF50F5"/>
    <w:rsid w:val="00DF53B0"/>
    <w:rsid w:val="00DF55C7"/>
    <w:rsid w:val="00DF6781"/>
    <w:rsid w:val="00DF6D45"/>
    <w:rsid w:val="00E0075D"/>
    <w:rsid w:val="00E01D16"/>
    <w:rsid w:val="00E02E4D"/>
    <w:rsid w:val="00E0362D"/>
    <w:rsid w:val="00E04894"/>
    <w:rsid w:val="00E05E8E"/>
    <w:rsid w:val="00E06061"/>
    <w:rsid w:val="00E06117"/>
    <w:rsid w:val="00E07296"/>
    <w:rsid w:val="00E07D06"/>
    <w:rsid w:val="00E07D7A"/>
    <w:rsid w:val="00E11B2C"/>
    <w:rsid w:val="00E128D0"/>
    <w:rsid w:val="00E13161"/>
    <w:rsid w:val="00E13234"/>
    <w:rsid w:val="00E13CCB"/>
    <w:rsid w:val="00E13E0C"/>
    <w:rsid w:val="00E14857"/>
    <w:rsid w:val="00E179E7"/>
    <w:rsid w:val="00E17EC2"/>
    <w:rsid w:val="00E20295"/>
    <w:rsid w:val="00E20B57"/>
    <w:rsid w:val="00E21745"/>
    <w:rsid w:val="00E21F7B"/>
    <w:rsid w:val="00E25552"/>
    <w:rsid w:val="00E25D92"/>
    <w:rsid w:val="00E25E13"/>
    <w:rsid w:val="00E25E19"/>
    <w:rsid w:val="00E27D43"/>
    <w:rsid w:val="00E313E1"/>
    <w:rsid w:val="00E316F7"/>
    <w:rsid w:val="00E32039"/>
    <w:rsid w:val="00E335B5"/>
    <w:rsid w:val="00E3483F"/>
    <w:rsid w:val="00E360E6"/>
    <w:rsid w:val="00E36256"/>
    <w:rsid w:val="00E40E2E"/>
    <w:rsid w:val="00E41B1E"/>
    <w:rsid w:val="00E431D5"/>
    <w:rsid w:val="00E43246"/>
    <w:rsid w:val="00E4389B"/>
    <w:rsid w:val="00E43A27"/>
    <w:rsid w:val="00E44BE3"/>
    <w:rsid w:val="00E45766"/>
    <w:rsid w:val="00E45C0C"/>
    <w:rsid w:val="00E46809"/>
    <w:rsid w:val="00E476DD"/>
    <w:rsid w:val="00E47C54"/>
    <w:rsid w:val="00E47C65"/>
    <w:rsid w:val="00E47E8F"/>
    <w:rsid w:val="00E51298"/>
    <w:rsid w:val="00E52749"/>
    <w:rsid w:val="00E52AD8"/>
    <w:rsid w:val="00E52CFB"/>
    <w:rsid w:val="00E5396F"/>
    <w:rsid w:val="00E53FD9"/>
    <w:rsid w:val="00E54972"/>
    <w:rsid w:val="00E55696"/>
    <w:rsid w:val="00E5752E"/>
    <w:rsid w:val="00E57D1C"/>
    <w:rsid w:val="00E57E92"/>
    <w:rsid w:val="00E60252"/>
    <w:rsid w:val="00E6124D"/>
    <w:rsid w:val="00E61E98"/>
    <w:rsid w:val="00E622FA"/>
    <w:rsid w:val="00E62B15"/>
    <w:rsid w:val="00E63C81"/>
    <w:rsid w:val="00E67853"/>
    <w:rsid w:val="00E67C49"/>
    <w:rsid w:val="00E67EAB"/>
    <w:rsid w:val="00E70A62"/>
    <w:rsid w:val="00E7107F"/>
    <w:rsid w:val="00E7181F"/>
    <w:rsid w:val="00E71E34"/>
    <w:rsid w:val="00E7219D"/>
    <w:rsid w:val="00E725EA"/>
    <w:rsid w:val="00E732CD"/>
    <w:rsid w:val="00E737C7"/>
    <w:rsid w:val="00E73E6A"/>
    <w:rsid w:val="00E7525E"/>
    <w:rsid w:val="00E75379"/>
    <w:rsid w:val="00E769FA"/>
    <w:rsid w:val="00E77192"/>
    <w:rsid w:val="00E80367"/>
    <w:rsid w:val="00E80704"/>
    <w:rsid w:val="00E8080A"/>
    <w:rsid w:val="00E81544"/>
    <w:rsid w:val="00E83484"/>
    <w:rsid w:val="00E84B09"/>
    <w:rsid w:val="00E85825"/>
    <w:rsid w:val="00E86203"/>
    <w:rsid w:val="00E87492"/>
    <w:rsid w:val="00E876D7"/>
    <w:rsid w:val="00E90EAD"/>
    <w:rsid w:val="00E92480"/>
    <w:rsid w:val="00E92866"/>
    <w:rsid w:val="00E92BCD"/>
    <w:rsid w:val="00E93343"/>
    <w:rsid w:val="00E93997"/>
    <w:rsid w:val="00E93C55"/>
    <w:rsid w:val="00E95D03"/>
    <w:rsid w:val="00E95DCD"/>
    <w:rsid w:val="00E9661C"/>
    <w:rsid w:val="00E975B9"/>
    <w:rsid w:val="00EA013F"/>
    <w:rsid w:val="00EA0863"/>
    <w:rsid w:val="00EA1F68"/>
    <w:rsid w:val="00EA2280"/>
    <w:rsid w:val="00EA2F14"/>
    <w:rsid w:val="00EA31AA"/>
    <w:rsid w:val="00EA3A5D"/>
    <w:rsid w:val="00EA40A1"/>
    <w:rsid w:val="00EA576D"/>
    <w:rsid w:val="00EA688D"/>
    <w:rsid w:val="00EA6D61"/>
    <w:rsid w:val="00EA7228"/>
    <w:rsid w:val="00EA78DF"/>
    <w:rsid w:val="00EB0B50"/>
    <w:rsid w:val="00EB0BFA"/>
    <w:rsid w:val="00EB1343"/>
    <w:rsid w:val="00EB1E98"/>
    <w:rsid w:val="00EB2D13"/>
    <w:rsid w:val="00EB3DE6"/>
    <w:rsid w:val="00EB42C8"/>
    <w:rsid w:val="00EB4349"/>
    <w:rsid w:val="00EB4B05"/>
    <w:rsid w:val="00EB548B"/>
    <w:rsid w:val="00EB597F"/>
    <w:rsid w:val="00EB5C32"/>
    <w:rsid w:val="00EB5E0A"/>
    <w:rsid w:val="00EB60B2"/>
    <w:rsid w:val="00EB6C37"/>
    <w:rsid w:val="00EB6E39"/>
    <w:rsid w:val="00EB7482"/>
    <w:rsid w:val="00EB76FF"/>
    <w:rsid w:val="00EB7E67"/>
    <w:rsid w:val="00EC0CB2"/>
    <w:rsid w:val="00EC12E6"/>
    <w:rsid w:val="00EC1CE8"/>
    <w:rsid w:val="00EC3273"/>
    <w:rsid w:val="00EC57F9"/>
    <w:rsid w:val="00EC5E77"/>
    <w:rsid w:val="00EC6F50"/>
    <w:rsid w:val="00EC7066"/>
    <w:rsid w:val="00ED049A"/>
    <w:rsid w:val="00ED05E6"/>
    <w:rsid w:val="00ED0633"/>
    <w:rsid w:val="00ED0EA2"/>
    <w:rsid w:val="00ED17FD"/>
    <w:rsid w:val="00ED1B2D"/>
    <w:rsid w:val="00ED1BFE"/>
    <w:rsid w:val="00ED1F01"/>
    <w:rsid w:val="00ED334F"/>
    <w:rsid w:val="00ED45AA"/>
    <w:rsid w:val="00ED6B11"/>
    <w:rsid w:val="00ED7405"/>
    <w:rsid w:val="00EE07BD"/>
    <w:rsid w:val="00EE13E1"/>
    <w:rsid w:val="00EE1EEF"/>
    <w:rsid w:val="00EE3897"/>
    <w:rsid w:val="00EF02D6"/>
    <w:rsid w:val="00EF090A"/>
    <w:rsid w:val="00EF1547"/>
    <w:rsid w:val="00EF2FF1"/>
    <w:rsid w:val="00EF3AA6"/>
    <w:rsid w:val="00EF4141"/>
    <w:rsid w:val="00EF44AD"/>
    <w:rsid w:val="00EF4654"/>
    <w:rsid w:val="00EF55D0"/>
    <w:rsid w:val="00F0055E"/>
    <w:rsid w:val="00F01A5E"/>
    <w:rsid w:val="00F050CE"/>
    <w:rsid w:val="00F0613D"/>
    <w:rsid w:val="00F127A0"/>
    <w:rsid w:val="00F12DB9"/>
    <w:rsid w:val="00F14788"/>
    <w:rsid w:val="00F15031"/>
    <w:rsid w:val="00F16DFB"/>
    <w:rsid w:val="00F17880"/>
    <w:rsid w:val="00F1793F"/>
    <w:rsid w:val="00F17EF1"/>
    <w:rsid w:val="00F20120"/>
    <w:rsid w:val="00F21220"/>
    <w:rsid w:val="00F222A5"/>
    <w:rsid w:val="00F22B47"/>
    <w:rsid w:val="00F239B5"/>
    <w:rsid w:val="00F24C1C"/>
    <w:rsid w:val="00F25492"/>
    <w:rsid w:val="00F2613E"/>
    <w:rsid w:val="00F26CB9"/>
    <w:rsid w:val="00F26D8C"/>
    <w:rsid w:val="00F2735F"/>
    <w:rsid w:val="00F27A40"/>
    <w:rsid w:val="00F30874"/>
    <w:rsid w:val="00F30D4B"/>
    <w:rsid w:val="00F30ED0"/>
    <w:rsid w:val="00F3154D"/>
    <w:rsid w:val="00F32720"/>
    <w:rsid w:val="00F32EA9"/>
    <w:rsid w:val="00F33B24"/>
    <w:rsid w:val="00F343E4"/>
    <w:rsid w:val="00F35715"/>
    <w:rsid w:val="00F365C3"/>
    <w:rsid w:val="00F376BA"/>
    <w:rsid w:val="00F3776A"/>
    <w:rsid w:val="00F403C4"/>
    <w:rsid w:val="00F40997"/>
    <w:rsid w:val="00F40A37"/>
    <w:rsid w:val="00F40DD3"/>
    <w:rsid w:val="00F41621"/>
    <w:rsid w:val="00F41C44"/>
    <w:rsid w:val="00F41D5F"/>
    <w:rsid w:val="00F42437"/>
    <w:rsid w:val="00F42893"/>
    <w:rsid w:val="00F42C59"/>
    <w:rsid w:val="00F42F95"/>
    <w:rsid w:val="00F43E4B"/>
    <w:rsid w:val="00F4655E"/>
    <w:rsid w:val="00F46AA4"/>
    <w:rsid w:val="00F46F3D"/>
    <w:rsid w:val="00F50790"/>
    <w:rsid w:val="00F50D38"/>
    <w:rsid w:val="00F51E97"/>
    <w:rsid w:val="00F55740"/>
    <w:rsid w:val="00F56EB7"/>
    <w:rsid w:val="00F578DE"/>
    <w:rsid w:val="00F603B5"/>
    <w:rsid w:val="00F616E8"/>
    <w:rsid w:val="00F61D7E"/>
    <w:rsid w:val="00F63DB9"/>
    <w:rsid w:val="00F653C6"/>
    <w:rsid w:val="00F66F5D"/>
    <w:rsid w:val="00F6711D"/>
    <w:rsid w:val="00F701A1"/>
    <w:rsid w:val="00F70BC6"/>
    <w:rsid w:val="00F71276"/>
    <w:rsid w:val="00F713D6"/>
    <w:rsid w:val="00F7267B"/>
    <w:rsid w:val="00F727EF"/>
    <w:rsid w:val="00F72BD1"/>
    <w:rsid w:val="00F73390"/>
    <w:rsid w:val="00F73C02"/>
    <w:rsid w:val="00F75494"/>
    <w:rsid w:val="00F75804"/>
    <w:rsid w:val="00F76931"/>
    <w:rsid w:val="00F77CCD"/>
    <w:rsid w:val="00F80198"/>
    <w:rsid w:val="00F80F2C"/>
    <w:rsid w:val="00F83190"/>
    <w:rsid w:val="00F8350B"/>
    <w:rsid w:val="00F83E88"/>
    <w:rsid w:val="00F83EF6"/>
    <w:rsid w:val="00F8401B"/>
    <w:rsid w:val="00F840DA"/>
    <w:rsid w:val="00F8415D"/>
    <w:rsid w:val="00F84307"/>
    <w:rsid w:val="00F847F5"/>
    <w:rsid w:val="00F9043F"/>
    <w:rsid w:val="00F9180B"/>
    <w:rsid w:val="00F91D4D"/>
    <w:rsid w:val="00F922FC"/>
    <w:rsid w:val="00F92950"/>
    <w:rsid w:val="00F92D39"/>
    <w:rsid w:val="00F93932"/>
    <w:rsid w:val="00F93A2D"/>
    <w:rsid w:val="00F93AEE"/>
    <w:rsid w:val="00F96121"/>
    <w:rsid w:val="00F973DF"/>
    <w:rsid w:val="00F97C6D"/>
    <w:rsid w:val="00FA0783"/>
    <w:rsid w:val="00FA21A5"/>
    <w:rsid w:val="00FA2542"/>
    <w:rsid w:val="00FA2FB6"/>
    <w:rsid w:val="00FA3773"/>
    <w:rsid w:val="00FA593E"/>
    <w:rsid w:val="00FB033D"/>
    <w:rsid w:val="00FB1C83"/>
    <w:rsid w:val="00FB6B67"/>
    <w:rsid w:val="00FC06DB"/>
    <w:rsid w:val="00FC14BA"/>
    <w:rsid w:val="00FC1B96"/>
    <w:rsid w:val="00FC50A9"/>
    <w:rsid w:val="00FD1073"/>
    <w:rsid w:val="00FD3312"/>
    <w:rsid w:val="00FD3785"/>
    <w:rsid w:val="00FD4009"/>
    <w:rsid w:val="00FD4A62"/>
    <w:rsid w:val="00FD4CCD"/>
    <w:rsid w:val="00FD63C9"/>
    <w:rsid w:val="00FD7649"/>
    <w:rsid w:val="00FE164A"/>
    <w:rsid w:val="00FE20A3"/>
    <w:rsid w:val="00FE243F"/>
    <w:rsid w:val="00FE2BB4"/>
    <w:rsid w:val="00FE37CF"/>
    <w:rsid w:val="00FE3DD5"/>
    <w:rsid w:val="00FE3E42"/>
    <w:rsid w:val="00FE3F2C"/>
    <w:rsid w:val="00FF0AB7"/>
    <w:rsid w:val="00FF13C2"/>
    <w:rsid w:val="00FF1ACE"/>
    <w:rsid w:val="00FF1CD0"/>
    <w:rsid w:val="00FF39ED"/>
    <w:rsid w:val="00FF409C"/>
    <w:rsid w:val="00FF46A3"/>
    <w:rsid w:val="00FF4787"/>
    <w:rsid w:val="00FF5BD4"/>
    <w:rsid w:val="00FF60F1"/>
    <w:rsid w:val="00FF6CCA"/>
    <w:rsid w:val="01A85D51"/>
    <w:rsid w:val="01FB0F02"/>
    <w:rsid w:val="0240310F"/>
    <w:rsid w:val="0264726A"/>
    <w:rsid w:val="02C975A1"/>
    <w:rsid w:val="02E337F7"/>
    <w:rsid w:val="03005E77"/>
    <w:rsid w:val="03376899"/>
    <w:rsid w:val="04E566E0"/>
    <w:rsid w:val="052971A9"/>
    <w:rsid w:val="05750C56"/>
    <w:rsid w:val="05C444B9"/>
    <w:rsid w:val="064E48E4"/>
    <w:rsid w:val="06CA253D"/>
    <w:rsid w:val="07342561"/>
    <w:rsid w:val="074E7BCE"/>
    <w:rsid w:val="07580B37"/>
    <w:rsid w:val="07D929D6"/>
    <w:rsid w:val="07DA627C"/>
    <w:rsid w:val="082F2519"/>
    <w:rsid w:val="091805FA"/>
    <w:rsid w:val="09A95A02"/>
    <w:rsid w:val="0A1B4CB7"/>
    <w:rsid w:val="0A3864D3"/>
    <w:rsid w:val="0A960A6B"/>
    <w:rsid w:val="0B3D667F"/>
    <w:rsid w:val="0B553D20"/>
    <w:rsid w:val="0BA43A83"/>
    <w:rsid w:val="0BBD33BC"/>
    <w:rsid w:val="0C393981"/>
    <w:rsid w:val="0C8B2759"/>
    <w:rsid w:val="0CA066E9"/>
    <w:rsid w:val="0CBF0B9E"/>
    <w:rsid w:val="0CE2526B"/>
    <w:rsid w:val="0CE77D67"/>
    <w:rsid w:val="0D212781"/>
    <w:rsid w:val="0D465CA4"/>
    <w:rsid w:val="0D7A3C37"/>
    <w:rsid w:val="0D7C082F"/>
    <w:rsid w:val="0D9E2D17"/>
    <w:rsid w:val="0DAE3A79"/>
    <w:rsid w:val="0E073B32"/>
    <w:rsid w:val="0E0E7C07"/>
    <w:rsid w:val="0E7B0FCE"/>
    <w:rsid w:val="0E9E1929"/>
    <w:rsid w:val="0FAA4681"/>
    <w:rsid w:val="0FED487E"/>
    <w:rsid w:val="10324282"/>
    <w:rsid w:val="106B6AD1"/>
    <w:rsid w:val="109756E0"/>
    <w:rsid w:val="10D935B6"/>
    <w:rsid w:val="11323006"/>
    <w:rsid w:val="128235DD"/>
    <w:rsid w:val="12B934DA"/>
    <w:rsid w:val="130561C3"/>
    <w:rsid w:val="14DE5C5C"/>
    <w:rsid w:val="15C56A7A"/>
    <w:rsid w:val="16D10186"/>
    <w:rsid w:val="16E80C16"/>
    <w:rsid w:val="1729478D"/>
    <w:rsid w:val="176E49BB"/>
    <w:rsid w:val="179476C0"/>
    <w:rsid w:val="179E678C"/>
    <w:rsid w:val="17C11489"/>
    <w:rsid w:val="189B3680"/>
    <w:rsid w:val="18AD4BFF"/>
    <w:rsid w:val="18F37025"/>
    <w:rsid w:val="19896E9A"/>
    <w:rsid w:val="19C64063"/>
    <w:rsid w:val="19F83C45"/>
    <w:rsid w:val="19FA594B"/>
    <w:rsid w:val="19FE70FC"/>
    <w:rsid w:val="1A2B6812"/>
    <w:rsid w:val="1A3C32CC"/>
    <w:rsid w:val="1B141C3E"/>
    <w:rsid w:val="1B645FDE"/>
    <w:rsid w:val="1BAF5EC7"/>
    <w:rsid w:val="1BE41BC3"/>
    <w:rsid w:val="1BFB4027"/>
    <w:rsid w:val="1C0C656B"/>
    <w:rsid w:val="1C164F14"/>
    <w:rsid w:val="1C65722B"/>
    <w:rsid w:val="1C7E39FE"/>
    <w:rsid w:val="1C925641"/>
    <w:rsid w:val="1C9A5DF9"/>
    <w:rsid w:val="1CE617B0"/>
    <w:rsid w:val="1D262E41"/>
    <w:rsid w:val="1D9C2511"/>
    <w:rsid w:val="1DB36D58"/>
    <w:rsid w:val="1DE44A10"/>
    <w:rsid w:val="1E1E7279"/>
    <w:rsid w:val="1E8F3340"/>
    <w:rsid w:val="1ECA5375"/>
    <w:rsid w:val="1EDB4ED0"/>
    <w:rsid w:val="1EF075D2"/>
    <w:rsid w:val="1F1C6739"/>
    <w:rsid w:val="1FA55DFC"/>
    <w:rsid w:val="1FDA4FE9"/>
    <w:rsid w:val="1FFC2F87"/>
    <w:rsid w:val="205F6556"/>
    <w:rsid w:val="20A7101D"/>
    <w:rsid w:val="20B46EB2"/>
    <w:rsid w:val="21BB65C8"/>
    <w:rsid w:val="221F3CDD"/>
    <w:rsid w:val="224249C3"/>
    <w:rsid w:val="225A62E9"/>
    <w:rsid w:val="22731552"/>
    <w:rsid w:val="228D396C"/>
    <w:rsid w:val="22F8048F"/>
    <w:rsid w:val="23D354BD"/>
    <w:rsid w:val="243B4281"/>
    <w:rsid w:val="24431BDE"/>
    <w:rsid w:val="245022DC"/>
    <w:rsid w:val="248C0D8D"/>
    <w:rsid w:val="24BD358B"/>
    <w:rsid w:val="24C818E6"/>
    <w:rsid w:val="24E0090C"/>
    <w:rsid w:val="251E4A80"/>
    <w:rsid w:val="2551197C"/>
    <w:rsid w:val="25950D9D"/>
    <w:rsid w:val="25FE2B31"/>
    <w:rsid w:val="26373F08"/>
    <w:rsid w:val="26500679"/>
    <w:rsid w:val="26C71F4E"/>
    <w:rsid w:val="26F95DE2"/>
    <w:rsid w:val="27A73719"/>
    <w:rsid w:val="28425BE9"/>
    <w:rsid w:val="28846158"/>
    <w:rsid w:val="28C74ECF"/>
    <w:rsid w:val="28FB0BB1"/>
    <w:rsid w:val="290A1803"/>
    <w:rsid w:val="297E60A1"/>
    <w:rsid w:val="297F6691"/>
    <w:rsid w:val="29897A35"/>
    <w:rsid w:val="29EB3B6B"/>
    <w:rsid w:val="2A704853"/>
    <w:rsid w:val="2AA02B44"/>
    <w:rsid w:val="2BD22234"/>
    <w:rsid w:val="2C4C7156"/>
    <w:rsid w:val="2C593269"/>
    <w:rsid w:val="2CA450CE"/>
    <w:rsid w:val="2D051173"/>
    <w:rsid w:val="2D594B32"/>
    <w:rsid w:val="2D75641D"/>
    <w:rsid w:val="2DA328D9"/>
    <w:rsid w:val="2E6D4CBD"/>
    <w:rsid w:val="2EB5507F"/>
    <w:rsid w:val="2EE55A3B"/>
    <w:rsid w:val="2EE96E9D"/>
    <w:rsid w:val="2F4E2E5C"/>
    <w:rsid w:val="2F84370C"/>
    <w:rsid w:val="2FD51F89"/>
    <w:rsid w:val="2FD848B8"/>
    <w:rsid w:val="309A66A0"/>
    <w:rsid w:val="311B6FA8"/>
    <w:rsid w:val="31B4577A"/>
    <w:rsid w:val="31B84E2C"/>
    <w:rsid w:val="32063667"/>
    <w:rsid w:val="322D5E7C"/>
    <w:rsid w:val="32347428"/>
    <w:rsid w:val="32674CE9"/>
    <w:rsid w:val="32846B28"/>
    <w:rsid w:val="32A72C06"/>
    <w:rsid w:val="32CF5928"/>
    <w:rsid w:val="331738A7"/>
    <w:rsid w:val="3350190E"/>
    <w:rsid w:val="33B850E7"/>
    <w:rsid w:val="33DA2EB8"/>
    <w:rsid w:val="34055216"/>
    <w:rsid w:val="34621C0C"/>
    <w:rsid w:val="34972263"/>
    <w:rsid w:val="34C3224B"/>
    <w:rsid w:val="3570341F"/>
    <w:rsid w:val="363362A4"/>
    <w:rsid w:val="368B37F2"/>
    <w:rsid w:val="36AA4D7E"/>
    <w:rsid w:val="37266F8E"/>
    <w:rsid w:val="37446678"/>
    <w:rsid w:val="37556BD7"/>
    <w:rsid w:val="37A12A4B"/>
    <w:rsid w:val="37D33C75"/>
    <w:rsid w:val="381B7DDA"/>
    <w:rsid w:val="38DF1EBC"/>
    <w:rsid w:val="38FB5D20"/>
    <w:rsid w:val="39205F97"/>
    <w:rsid w:val="392448A2"/>
    <w:rsid w:val="395A5F36"/>
    <w:rsid w:val="398C17A1"/>
    <w:rsid w:val="39DD0B8C"/>
    <w:rsid w:val="3A427935"/>
    <w:rsid w:val="3A497757"/>
    <w:rsid w:val="3A5B100F"/>
    <w:rsid w:val="3A7970A4"/>
    <w:rsid w:val="3AAC3D6F"/>
    <w:rsid w:val="3AE535C6"/>
    <w:rsid w:val="3B1315BC"/>
    <w:rsid w:val="3B4C5C32"/>
    <w:rsid w:val="3B7C2C60"/>
    <w:rsid w:val="3BA810F0"/>
    <w:rsid w:val="3BD115FA"/>
    <w:rsid w:val="3C2D1070"/>
    <w:rsid w:val="3C68729C"/>
    <w:rsid w:val="3C6E5764"/>
    <w:rsid w:val="3CCE4AC6"/>
    <w:rsid w:val="3D1E390A"/>
    <w:rsid w:val="3D3F4511"/>
    <w:rsid w:val="3D452602"/>
    <w:rsid w:val="3DF2644C"/>
    <w:rsid w:val="3E4539BB"/>
    <w:rsid w:val="3E5724D8"/>
    <w:rsid w:val="3E632685"/>
    <w:rsid w:val="3E695159"/>
    <w:rsid w:val="3ED24595"/>
    <w:rsid w:val="3F1439EF"/>
    <w:rsid w:val="3F955555"/>
    <w:rsid w:val="40462E0E"/>
    <w:rsid w:val="40CA68E6"/>
    <w:rsid w:val="413D624B"/>
    <w:rsid w:val="41533BE0"/>
    <w:rsid w:val="41747836"/>
    <w:rsid w:val="418E5F9D"/>
    <w:rsid w:val="41CB4077"/>
    <w:rsid w:val="42391FD5"/>
    <w:rsid w:val="42492EE3"/>
    <w:rsid w:val="424C4C28"/>
    <w:rsid w:val="426D24C4"/>
    <w:rsid w:val="4275143C"/>
    <w:rsid w:val="42766CC6"/>
    <w:rsid w:val="42830090"/>
    <w:rsid w:val="428C3EDF"/>
    <w:rsid w:val="42A578B5"/>
    <w:rsid w:val="43AF0A03"/>
    <w:rsid w:val="43BD07B0"/>
    <w:rsid w:val="43C85F73"/>
    <w:rsid w:val="43E62DD1"/>
    <w:rsid w:val="43FA218A"/>
    <w:rsid w:val="44102BCD"/>
    <w:rsid w:val="443B3D36"/>
    <w:rsid w:val="447357DC"/>
    <w:rsid w:val="44A00052"/>
    <w:rsid w:val="44FA2E9F"/>
    <w:rsid w:val="45574CCE"/>
    <w:rsid w:val="457C2D10"/>
    <w:rsid w:val="45B61021"/>
    <w:rsid w:val="45CC59C0"/>
    <w:rsid w:val="45D42B14"/>
    <w:rsid w:val="46464A8E"/>
    <w:rsid w:val="4686686B"/>
    <w:rsid w:val="468B50CB"/>
    <w:rsid w:val="470D65F5"/>
    <w:rsid w:val="47287A4D"/>
    <w:rsid w:val="47471FA4"/>
    <w:rsid w:val="47867EDA"/>
    <w:rsid w:val="47F8015C"/>
    <w:rsid w:val="488820B1"/>
    <w:rsid w:val="48B404BC"/>
    <w:rsid w:val="48FE65BC"/>
    <w:rsid w:val="491C3583"/>
    <w:rsid w:val="492412FB"/>
    <w:rsid w:val="49303E4C"/>
    <w:rsid w:val="49373740"/>
    <w:rsid w:val="49B20A69"/>
    <w:rsid w:val="49C66DC1"/>
    <w:rsid w:val="4A65690E"/>
    <w:rsid w:val="4A814090"/>
    <w:rsid w:val="4B082AD3"/>
    <w:rsid w:val="4B2F126D"/>
    <w:rsid w:val="4B73741D"/>
    <w:rsid w:val="4B756F8C"/>
    <w:rsid w:val="4BD3400F"/>
    <w:rsid w:val="4BEE0168"/>
    <w:rsid w:val="4C3B3C92"/>
    <w:rsid w:val="4CD452E0"/>
    <w:rsid w:val="4CE1122E"/>
    <w:rsid w:val="4CFD4D46"/>
    <w:rsid w:val="4D5F50A3"/>
    <w:rsid w:val="4D6B272C"/>
    <w:rsid w:val="4DB71593"/>
    <w:rsid w:val="4DD9654B"/>
    <w:rsid w:val="4DEE6FE0"/>
    <w:rsid w:val="4E54616E"/>
    <w:rsid w:val="4E5F2D6C"/>
    <w:rsid w:val="4E83748D"/>
    <w:rsid w:val="4E922C59"/>
    <w:rsid w:val="4EEE6A9D"/>
    <w:rsid w:val="4F9A1E02"/>
    <w:rsid w:val="4FDD292C"/>
    <w:rsid w:val="5010149C"/>
    <w:rsid w:val="505C3BE7"/>
    <w:rsid w:val="50A03310"/>
    <w:rsid w:val="50E336C1"/>
    <w:rsid w:val="50E4096B"/>
    <w:rsid w:val="50F1062E"/>
    <w:rsid w:val="511C421F"/>
    <w:rsid w:val="51230FED"/>
    <w:rsid w:val="513E6F0F"/>
    <w:rsid w:val="51765142"/>
    <w:rsid w:val="51D1030F"/>
    <w:rsid w:val="51F86890"/>
    <w:rsid w:val="52374C77"/>
    <w:rsid w:val="527E7572"/>
    <w:rsid w:val="52803284"/>
    <w:rsid w:val="53285E27"/>
    <w:rsid w:val="55232F42"/>
    <w:rsid w:val="553735AE"/>
    <w:rsid w:val="55DE67C1"/>
    <w:rsid w:val="566876B0"/>
    <w:rsid w:val="56AB50DA"/>
    <w:rsid w:val="56B25804"/>
    <w:rsid w:val="56C0393F"/>
    <w:rsid w:val="57347BEB"/>
    <w:rsid w:val="577E5426"/>
    <w:rsid w:val="57897141"/>
    <w:rsid w:val="57C74048"/>
    <w:rsid w:val="57C8136F"/>
    <w:rsid w:val="58584DDD"/>
    <w:rsid w:val="586A27D0"/>
    <w:rsid w:val="586F7365"/>
    <w:rsid w:val="58B117FA"/>
    <w:rsid w:val="58B56BB8"/>
    <w:rsid w:val="592F2A32"/>
    <w:rsid w:val="59741FBC"/>
    <w:rsid w:val="598A0A07"/>
    <w:rsid w:val="59C52B98"/>
    <w:rsid w:val="59DC61E6"/>
    <w:rsid w:val="59F31DEE"/>
    <w:rsid w:val="59F44D48"/>
    <w:rsid w:val="5A47502D"/>
    <w:rsid w:val="5A9418A9"/>
    <w:rsid w:val="5ACC4EA1"/>
    <w:rsid w:val="5AE625AD"/>
    <w:rsid w:val="5B35FA5D"/>
    <w:rsid w:val="5B8356AB"/>
    <w:rsid w:val="5BF16559"/>
    <w:rsid w:val="5C9C05B9"/>
    <w:rsid w:val="5CB73B2D"/>
    <w:rsid w:val="5DC944B4"/>
    <w:rsid w:val="5DEA21A7"/>
    <w:rsid w:val="5E9652BC"/>
    <w:rsid w:val="5E9C68C8"/>
    <w:rsid w:val="5E9D6249"/>
    <w:rsid w:val="5E9FA5D9"/>
    <w:rsid w:val="5EB606D2"/>
    <w:rsid w:val="5F3C1E8F"/>
    <w:rsid w:val="5F7316DF"/>
    <w:rsid w:val="5FB540F1"/>
    <w:rsid w:val="608B0118"/>
    <w:rsid w:val="61131245"/>
    <w:rsid w:val="616C7C47"/>
    <w:rsid w:val="61965C29"/>
    <w:rsid w:val="6220453C"/>
    <w:rsid w:val="628C25B1"/>
    <w:rsid w:val="62F13FD7"/>
    <w:rsid w:val="63505783"/>
    <w:rsid w:val="635F7193"/>
    <w:rsid w:val="637F1B3E"/>
    <w:rsid w:val="638031CB"/>
    <w:rsid w:val="638504B3"/>
    <w:rsid w:val="63AC63C4"/>
    <w:rsid w:val="641A7A3C"/>
    <w:rsid w:val="647672A0"/>
    <w:rsid w:val="64883E5F"/>
    <w:rsid w:val="648D35CA"/>
    <w:rsid w:val="649A40E6"/>
    <w:rsid w:val="64DC1CC5"/>
    <w:rsid w:val="652816BF"/>
    <w:rsid w:val="65950EC4"/>
    <w:rsid w:val="65F13829"/>
    <w:rsid w:val="660918F9"/>
    <w:rsid w:val="66C61418"/>
    <w:rsid w:val="66EF6A05"/>
    <w:rsid w:val="672036C9"/>
    <w:rsid w:val="677026C6"/>
    <w:rsid w:val="67FC381F"/>
    <w:rsid w:val="682C526F"/>
    <w:rsid w:val="68777541"/>
    <w:rsid w:val="68BF1E69"/>
    <w:rsid w:val="691F3372"/>
    <w:rsid w:val="6937496B"/>
    <w:rsid w:val="694E7808"/>
    <w:rsid w:val="69564AA1"/>
    <w:rsid w:val="69574B9D"/>
    <w:rsid w:val="698274C7"/>
    <w:rsid w:val="69BB0B2C"/>
    <w:rsid w:val="69E25967"/>
    <w:rsid w:val="69F85048"/>
    <w:rsid w:val="6A0A32B1"/>
    <w:rsid w:val="6A1348B6"/>
    <w:rsid w:val="6A403425"/>
    <w:rsid w:val="6A911080"/>
    <w:rsid w:val="6AE61F48"/>
    <w:rsid w:val="6AE82D1C"/>
    <w:rsid w:val="6B477A2A"/>
    <w:rsid w:val="6B5A4EA4"/>
    <w:rsid w:val="6C300A85"/>
    <w:rsid w:val="6D8603FC"/>
    <w:rsid w:val="6D984053"/>
    <w:rsid w:val="6E4A686E"/>
    <w:rsid w:val="6F822E81"/>
    <w:rsid w:val="6FCA62DC"/>
    <w:rsid w:val="6FDFDC0A"/>
    <w:rsid w:val="702B1BEA"/>
    <w:rsid w:val="70394621"/>
    <w:rsid w:val="703C3F2A"/>
    <w:rsid w:val="704716DB"/>
    <w:rsid w:val="70805AD1"/>
    <w:rsid w:val="708861B8"/>
    <w:rsid w:val="70BA5657"/>
    <w:rsid w:val="70BD124F"/>
    <w:rsid w:val="70CF1EF9"/>
    <w:rsid w:val="71000FCE"/>
    <w:rsid w:val="71451F75"/>
    <w:rsid w:val="717621F9"/>
    <w:rsid w:val="71B32BBF"/>
    <w:rsid w:val="71B82794"/>
    <w:rsid w:val="71C07405"/>
    <w:rsid w:val="71CBBA1B"/>
    <w:rsid w:val="721F148D"/>
    <w:rsid w:val="723746D4"/>
    <w:rsid w:val="72B25695"/>
    <w:rsid w:val="72C36EB5"/>
    <w:rsid w:val="73154050"/>
    <w:rsid w:val="73473CEB"/>
    <w:rsid w:val="74CE4179"/>
    <w:rsid w:val="752F2E44"/>
    <w:rsid w:val="75A31721"/>
    <w:rsid w:val="75ED7F88"/>
    <w:rsid w:val="764D1CB9"/>
    <w:rsid w:val="76560CAB"/>
    <w:rsid w:val="76697EDF"/>
    <w:rsid w:val="76C0240B"/>
    <w:rsid w:val="777C72FE"/>
    <w:rsid w:val="779E7AEC"/>
    <w:rsid w:val="77A46CDC"/>
    <w:rsid w:val="77B94D93"/>
    <w:rsid w:val="77CF3D36"/>
    <w:rsid w:val="77D050AF"/>
    <w:rsid w:val="77F956BF"/>
    <w:rsid w:val="77FB4B82"/>
    <w:rsid w:val="787723BE"/>
    <w:rsid w:val="78847A1B"/>
    <w:rsid w:val="78EC0174"/>
    <w:rsid w:val="791715E5"/>
    <w:rsid w:val="792E135E"/>
    <w:rsid w:val="793E6B13"/>
    <w:rsid w:val="7989025D"/>
    <w:rsid w:val="7A14512C"/>
    <w:rsid w:val="7A334147"/>
    <w:rsid w:val="7A990249"/>
    <w:rsid w:val="7AF74774"/>
    <w:rsid w:val="7B580B80"/>
    <w:rsid w:val="7B72DFE1"/>
    <w:rsid w:val="7BE025DA"/>
    <w:rsid w:val="7BF10398"/>
    <w:rsid w:val="7BFB793B"/>
    <w:rsid w:val="7C6E4EC1"/>
    <w:rsid w:val="7D8A7404"/>
    <w:rsid w:val="7DAA09B0"/>
    <w:rsid w:val="7DE14F1D"/>
    <w:rsid w:val="7DF768D5"/>
    <w:rsid w:val="7E3E7916"/>
    <w:rsid w:val="7E75482F"/>
    <w:rsid w:val="7EA71D7C"/>
    <w:rsid w:val="7EB470EC"/>
    <w:rsid w:val="7EE66CD4"/>
    <w:rsid w:val="7EFF3B67"/>
    <w:rsid w:val="7F195E74"/>
    <w:rsid w:val="7F35093E"/>
    <w:rsid w:val="7F5C30F0"/>
    <w:rsid w:val="7F63180E"/>
    <w:rsid w:val="7F767BD7"/>
    <w:rsid w:val="7F8964AB"/>
    <w:rsid w:val="916F2908"/>
    <w:rsid w:val="BEB708EE"/>
    <w:rsid w:val="DEBB826D"/>
    <w:rsid w:val="E6A346E6"/>
    <w:rsid w:val="EEC51BEC"/>
    <w:rsid w:val="EF39B718"/>
    <w:rsid w:val="F3DC6638"/>
    <w:rsid w:val="F6FF1394"/>
    <w:rsid w:val="F76DA2FA"/>
    <w:rsid w:val="F791ABE0"/>
    <w:rsid w:val="F9FE60CF"/>
    <w:rsid w:val="FAFF24D2"/>
    <w:rsid w:val="FBCE72F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keepNext/>
      <w:keepLines/>
      <w:widowControl w:val="0"/>
      <w:suppressLineNumbers w:val="0"/>
      <w:spacing w:before="260" w:beforeAutospacing="0" w:after="260" w:afterAutospacing="0" w:line="415" w:lineRule="auto"/>
      <w:jc w:val="both"/>
      <w:outlineLvl w:val="1"/>
    </w:pPr>
    <w:rPr>
      <w:rFonts w:hint="default" w:ascii="Arial" w:hAnsi="Arial" w:eastAsia="黑体" w:cs="Angsana New"/>
      <w:b/>
      <w:kern w:val="0"/>
      <w:sz w:val="32"/>
      <w:szCs w:val="32"/>
      <w:lang w:val="en-US" w:eastAsia="zh-CN" w:bidi="ar"/>
    </w:rPr>
  </w:style>
  <w:style w:type="paragraph" w:styleId="4">
    <w:name w:val="heading 3"/>
    <w:basedOn w:val="1"/>
    <w:next w:val="1"/>
    <w:qFormat/>
    <w:uiPriority w:val="0"/>
    <w:pPr>
      <w:keepNext/>
      <w:keepLines/>
      <w:spacing w:before="260" w:after="260" w:line="415" w:lineRule="auto"/>
      <w:outlineLvl w:val="2"/>
    </w:pPr>
    <w:rPr>
      <w:b/>
      <w:bCs/>
      <w:sz w:val="32"/>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link w:val="18"/>
    <w:qFormat/>
    <w:uiPriority w:val="0"/>
    <w:pPr>
      <w:spacing w:after="120"/>
    </w:pPr>
  </w:style>
  <w:style w:type="paragraph" w:styleId="5">
    <w:name w:val="annotation text"/>
    <w:basedOn w:val="1"/>
    <w:link w:val="19"/>
    <w:semiHidden/>
    <w:qFormat/>
    <w:uiPriority w:val="99"/>
    <w:pPr>
      <w:jc w:val="left"/>
    </w:pPr>
    <w:rPr>
      <w:kern w:val="0"/>
      <w:sz w:val="20"/>
      <w:szCs w:val="20"/>
    </w:rPr>
  </w:style>
  <w:style w:type="paragraph" w:styleId="6">
    <w:name w:val="Body Text Indent"/>
    <w:basedOn w:val="1"/>
    <w:link w:val="20"/>
    <w:qFormat/>
    <w:uiPriority w:val="0"/>
    <w:pPr>
      <w:spacing w:after="120"/>
      <w:ind w:left="420" w:leftChars="200"/>
    </w:pPr>
  </w:style>
  <w:style w:type="paragraph" w:styleId="7">
    <w:name w:val="Plain Text"/>
    <w:basedOn w:val="1"/>
    <w:link w:val="21"/>
    <w:qFormat/>
    <w:uiPriority w:val="0"/>
    <w:pPr>
      <w:adjustRightInd w:val="0"/>
      <w:spacing w:line="312" w:lineRule="atLeast"/>
      <w:textAlignment w:val="baseline"/>
    </w:pPr>
    <w:rPr>
      <w:rFonts w:ascii="宋体" w:hAnsi="Courier New"/>
      <w:kern w:val="0"/>
      <w:szCs w:val="21"/>
    </w:rPr>
  </w:style>
  <w:style w:type="paragraph" w:styleId="8">
    <w:name w:val="Balloon Text"/>
    <w:basedOn w:val="1"/>
    <w:link w:val="22"/>
    <w:qFormat/>
    <w:uiPriority w:val="0"/>
    <w:rPr>
      <w:sz w:val="18"/>
      <w:szCs w:val="18"/>
    </w:rPr>
  </w:style>
  <w:style w:type="paragraph" w:styleId="9">
    <w:name w:val="footer"/>
    <w:basedOn w:val="1"/>
    <w:link w:val="23"/>
    <w:qFormat/>
    <w:uiPriority w:val="0"/>
    <w:pPr>
      <w:tabs>
        <w:tab w:val="center" w:pos="4153"/>
        <w:tab w:val="right" w:pos="8306"/>
      </w:tabs>
      <w:snapToGrid w:val="0"/>
      <w:jc w:val="left"/>
    </w:pPr>
    <w:rPr>
      <w:sz w:val="18"/>
      <w:szCs w:val="18"/>
    </w:rPr>
  </w:style>
  <w:style w:type="paragraph" w:styleId="10">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pPr>
      <w:tabs>
        <w:tab w:val="right" w:leader="dot" w:pos="8398"/>
      </w:tabs>
      <w:spacing w:before="120" w:after="120"/>
      <w:ind w:firstLine="240" w:firstLineChars="100"/>
      <w:jc w:val="left"/>
    </w:pPr>
    <w:rPr>
      <w:rFonts w:ascii="宋体" w:hAnsi="宋体"/>
      <w:b/>
      <w:bCs/>
      <w:caps/>
      <w:sz w:val="24"/>
    </w:rPr>
  </w:style>
  <w:style w:type="paragraph" w:styleId="12">
    <w:name w:val="Normal (Web)"/>
    <w:basedOn w:val="1"/>
    <w:qFormat/>
    <w:uiPriority w:val="0"/>
    <w:rPr>
      <w:sz w:val="24"/>
    </w:rPr>
  </w:style>
  <w:style w:type="paragraph" w:styleId="13">
    <w:name w:val="annotation subject"/>
    <w:basedOn w:val="5"/>
    <w:next w:val="5"/>
    <w:link w:val="25"/>
    <w:qFormat/>
    <w:uiPriority w:val="0"/>
    <w:rPr>
      <w:b/>
      <w:bCs/>
      <w:kern w:val="2"/>
      <w:sz w:val="21"/>
      <w:szCs w:val="24"/>
    </w:rPr>
  </w:style>
  <w:style w:type="table" w:styleId="15">
    <w:name w:val="Table Grid"/>
    <w:basedOn w:val="14"/>
    <w:qFormat/>
    <w:uiPriority w:val="0"/>
    <w:pPr>
      <w:widowControl w:val="0"/>
      <w:jc w:val="both"/>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annotation reference"/>
    <w:qFormat/>
    <w:uiPriority w:val="0"/>
    <w:rPr>
      <w:sz w:val="21"/>
      <w:szCs w:val="21"/>
    </w:rPr>
  </w:style>
  <w:style w:type="character" w:customStyle="1" w:styleId="18">
    <w:name w:val="正文文本 字符"/>
    <w:link w:val="2"/>
    <w:qFormat/>
    <w:locked/>
    <w:uiPriority w:val="0"/>
    <w:rPr>
      <w:rFonts w:eastAsia="宋体"/>
      <w:kern w:val="2"/>
      <w:sz w:val="21"/>
      <w:szCs w:val="24"/>
      <w:lang w:val="en-US" w:eastAsia="zh-CN" w:bidi="ar-SA"/>
    </w:rPr>
  </w:style>
  <w:style w:type="character" w:customStyle="1" w:styleId="19">
    <w:name w:val="批注文字 字符"/>
    <w:link w:val="5"/>
    <w:semiHidden/>
    <w:qFormat/>
    <w:uiPriority w:val="99"/>
  </w:style>
  <w:style w:type="character" w:customStyle="1" w:styleId="20">
    <w:name w:val="正文文本缩进 字符"/>
    <w:link w:val="6"/>
    <w:uiPriority w:val="0"/>
    <w:rPr>
      <w:kern w:val="2"/>
      <w:sz w:val="21"/>
      <w:szCs w:val="24"/>
    </w:rPr>
  </w:style>
  <w:style w:type="character" w:customStyle="1" w:styleId="21">
    <w:name w:val="纯文本 字符"/>
    <w:link w:val="7"/>
    <w:qFormat/>
    <w:locked/>
    <w:uiPriority w:val="0"/>
    <w:rPr>
      <w:rFonts w:ascii="宋体" w:hAnsi="Courier New" w:eastAsia="宋体"/>
      <w:sz w:val="21"/>
      <w:szCs w:val="21"/>
      <w:lang w:val="en-US" w:eastAsia="zh-CN" w:bidi="ar-SA"/>
    </w:rPr>
  </w:style>
  <w:style w:type="character" w:customStyle="1" w:styleId="22">
    <w:name w:val="批注框文本 字符"/>
    <w:link w:val="8"/>
    <w:qFormat/>
    <w:uiPriority w:val="0"/>
    <w:rPr>
      <w:kern w:val="2"/>
      <w:sz w:val="18"/>
      <w:szCs w:val="18"/>
    </w:rPr>
  </w:style>
  <w:style w:type="character" w:customStyle="1" w:styleId="23">
    <w:name w:val="页脚 字符"/>
    <w:link w:val="9"/>
    <w:qFormat/>
    <w:locked/>
    <w:uiPriority w:val="0"/>
    <w:rPr>
      <w:rFonts w:eastAsia="宋体"/>
      <w:kern w:val="2"/>
      <w:sz w:val="18"/>
      <w:szCs w:val="18"/>
      <w:lang w:val="en-US" w:eastAsia="zh-CN" w:bidi="ar-SA"/>
    </w:rPr>
  </w:style>
  <w:style w:type="character" w:customStyle="1" w:styleId="24">
    <w:name w:val="页眉 字符"/>
    <w:link w:val="10"/>
    <w:qFormat/>
    <w:locked/>
    <w:uiPriority w:val="0"/>
    <w:rPr>
      <w:rFonts w:eastAsia="宋体"/>
      <w:kern w:val="2"/>
      <w:sz w:val="18"/>
      <w:szCs w:val="18"/>
      <w:lang w:val="en-US" w:eastAsia="zh-CN" w:bidi="ar-SA"/>
    </w:rPr>
  </w:style>
  <w:style w:type="character" w:customStyle="1" w:styleId="25">
    <w:name w:val="批注主题 字符"/>
    <w:link w:val="13"/>
    <w:qFormat/>
    <w:uiPriority w:val="0"/>
    <w:rPr>
      <w:b/>
      <w:bCs/>
      <w:kern w:val="2"/>
      <w:sz w:val="21"/>
      <w:szCs w:val="24"/>
    </w:rPr>
  </w:style>
  <w:style w:type="character" w:customStyle="1" w:styleId="26">
    <w:name w:val="纯文本 字符1"/>
    <w:semiHidden/>
    <w:qFormat/>
    <w:uiPriority w:val="99"/>
    <w:rPr>
      <w:rFonts w:ascii="宋体" w:hAnsi="Courier New" w:eastAsia="宋体" w:cs="Courier New"/>
      <w:szCs w:val="21"/>
    </w:rPr>
  </w:style>
  <w:style w:type="character" w:customStyle="1" w:styleId="27">
    <w:name w:val="15"/>
    <w:qFormat/>
    <w:uiPriority w:val="0"/>
    <w:rPr>
      <w:rFonts w:hint="default" w:ascii="Calibri" w:hAnsi="Calibri" w:cs="Calibri"/>
    </w:rPr>
  </w:style>
  <w:style w:type="character" w:customStyle="1" w:styleId="28">
    <w:name w:val="16"/>
    <w:qFormat/>
    <w:uiPriority w:val="0"/>
    <w:rPr>
      <w:rFonts w:hint="default" w:ascii="Arial" w:hAnsi="Arial" w:eastAsia="黑体" w:cs="Arial"/>
      <w:b/>
      <w:kern w:val="2"/>
      <w:sz w:val="32"/>
      <w:szCs w:val="32"/>
    </w:rPr>
  </w:style>
  <w:style w:type="character" w:customStyle="1" w:styleId="29">
    <w:name w:val="10"/>
    <w:qFormat/>
    <w:uiPriority w:val="0"/>
    <w:rPr>
      <w:rFonts w:hint="default" w:ascii="Calibri" w:hAnsi="Calibri" w:cs="Calibri"/>
    </w:rPr>
  </w:style>
  <w:style w:type="paragraph" w:customStyle="1" w:styleId="30">
    <w:name w:val="List Paragraph"/>
    <w:basedOn w:val="1"/>
    <w:qFormat/>
    <w:uiPriority w:val="0"/>
    <w:pPr>
      <w:ind w:firstLine="420" w:firstLineChars="200"/>
    </w:pPr>
  </w:style>
  <w:style w:type="paragraph" w:customStyle="1" w:styleId="31">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32">
    <w:name w:val="List Paragraph1"/>
    <w:basedOn w:val="1"/>
    <w:qFormat/>
    <w:uiPriority w:val="99"/>
    <w:pPr>
      <w:ind w:firstLine="420" w:firstLineChars="200"/>
    </w:pPr>
  </w:style>
  <w:style w:type="paragraph" w:customStyle="1" w:styleId="33">
    <w:name w:val="MSG_EN_FONT_STYLE_NAME_TEMPLATE_ROLE_NUMBER MSG_EN_FONT_STYLE_NAME_BY_ROLE_TEXT 2"/>
    <w:basedOn w:val="1"/>
    <w:qFormat/>
    <w:uiPriority w:val="99"/>
    <w:pPr>
      <w:shd w:val="clear" w:color="auto" w:fill="FFFFFF"/>
      <w:spacing w:line="518" w:lineRule="exact"/>
      <w:jc w:val="distribute"/>
    </w:pPr>
    <w:rPr>
      <w:rFonts w:ascii="PMingLiU" w:hAnsi="PMingLiU" w:eastAsia="PMingLiU" w:cs="PMingLiU"/>
      <w:spacing w:val="20"/>
      <w:sz w:val="30"/>
      <w:szCs w:val="30"/>
    </w:rPr>
  </w:style>
  <w:style w:type="character" w:customStyle="1" w:styleId="34">
    <w:name w:val="font11"/>
    <w:qFormat/>
    <w:uiPriority w:val="0"/>
    <w:rPr>
      <w:rFonts w:hint="eastAsia" w:ascii="宋体" w:hAnsi="宋体" w:eastAsia="宋体" w:cs="宋体"/>
      <w:color w:val="FF0000"/>
      <w:sz w:val="22"/>
      <w:szCs w:val="22"/>
      <w:u w:val="none"/>
    </w:rPr>
  </w:style>
  <w:style w:type="character" w:customStyle="1" w:styleId="35">
    <w:name w:val="font01"/>
    <w:qFormat/>
    <w:uiPriority w:val="0"/>
    <w:rPr>
      <w:rFonts w:hint="eastAsia" w:ascii="宋体" w:hAnsi="宋体" w:eastAsia="宋体" w:cs="宋体"/>
      <w:color w:val="000000"/>
      <w:sz w:val="22"/>
      <w:szCs w:val="22"/>
      <w:u w:val="none"/>
    </w:rPr>
  </w:style>
  <w:style w:type="paragraph" w:customStyle="1" w:styleId="36">
    <w:name w:val="_Style 35"/>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fontTable" Target="fontTable.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theme" Target="theme/theme1.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59</Pages>
  <Words>3532</Words>
  <Characters>20138</Characters>
  <Lines>167</Lines>
  <Paragraphs>47</Paragraphs>
  <TotalTime>35</TotalTime>
  <ScaleCrop>false</ScaleCrop>
  <LinksUpToDate>false</LinksUpToDate>
  <CharactersWithSpaces>23623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2021-12-13T08:34:00Z</dcterms:created>
  <dc:creator>DELL</dc:creator>
  <cp:lastModifiedBy>LX</cp:lastModifiedBy>
  <cp:lastPrinted>2021-08-18T10:03:00Z</cp:lastPrinted>
  <dcterms:modified xsi:type="dcterms:W3CDTF">2021-12-16T09:44:05Z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754B27DD9890437C85C3A1F0A972590F</vt:lpwstr>
  </property>
</Properties>
</file>