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Times New Roman"/>
          <w:b/>
          <w:bCs/>
          <w:color w:val="auto"/>
          <w:sz w:val="10"/>
          <w:szCs w:val="10"/>
          <w:highlight w:val="none"/>
        </w:rPr>
      </w:pPr>
      <w:r>
        <w:rPr>
          <w:rFonts w:eastAsia="Times New Roman"/>
          <w:b/>
          <w:bCs/>
          <w:color w:val="auto"/>
          <w:sz w:val="10"/>
          <w:szCs w:val="10"/>
          <w:highlight w:val="none"/>
        </w:rPr>
        <w:t xml:space="preserve">                                                          </w:t>
      </w:r>
      <w:bookmarkStart w:id="0" w:name="OLE_LINK1"/>
      <w:bookmarkStart w:id="1" w:name="OLE_LINK2"/>
    </w:p>
    <w:p>
      <w:pPr>
        <w:pStyle w:val="2"/>
        <w:jc w:val="center"/>
        <w:rPr>
          <w:rFonts w:eastAsia="方正小标宋简体"/>
          <w:color w:val="auto"/>
          <w:sz w:val="72"/>
          <w:szCs w:val="72"/>
          <w:highlight w:val="none"/>
        </w:rPr>
      </w:pPr>
    </w:p>
    <w:p>
      <w:pPr>
        <w:pStyle w:val="2"/>
        <w:jc w:val="center"/>
        <w:rPr>
          <w:rFonts w:hint="eastAsia" w:eastAsia="方正小标宋简体"/>
          <w:b/>
          <w:bCs/>
          <w:color w:val="auto"/>
          <w:sz w:val="52"/>
          <w:szCs w:val="52"/>
          <w:highlight w:val="none"/>
        </w:rPr>
      </w:pPr>
      <w:r>
        <w:rPr>
          <w:rFonts w:hint="eastAsia" w:eastAsia="方正小标宋简体"/>
          <w:b/>
          <w:bCs/>
          <w:color w:val="auto"/>
          <w:sz w:val="52"/>
          <w:szCs w:val="52"/>
          <w:highlight w:val="none"/>
        </w:rPr>
        <w:t>广西南博国际信息有限公司</w:t>
      </w:r>
    </w:p>
    <w:p>
      <w:pPr>
        <w:pStyle w:val="2"/>
        <w:jc w:val="center"/>
        <w:rPr>
          <w:rFonts w:hint="eastAsia" w:eastAsia="方正小标宋简体"/>
          <w:b/>
          <w:bCs/>
          <w:color w:val="auto"/>
          <w:sz w:val="52"/>
          <w:szCs w:val="52"/>
          <w:highlight w:val="none"/>
        </w:rPr>
      </w:pPr>
    </w:p>
    <w:p>
      <w:pPr>
        <w:pStyle w:val="2"/>
        <w:jc w:val="center"/>
        <w:rPr>
          <w:rFonts w:eastAsia="方正小标宋简体"/>
          <w:b/>
          <w:bCs/>
          <w:color w:val="auto"/>
          <w:sz w:val="52"/>
          <w:szCs w:val="52"/>
          <w:highlight w:val="none"/>
        </w:rPr>
      </w:pPr>
      <w:r>
        <w:rPr>
          <w:rFonts w:hint="eastAsia" w:eastAsia="方正小标宋简体"/>
          <w:b/>
          <w:bCs/>
          <w:color w:val="auto"/>
          <w:sz w:val="52"/>
          <w:szCs w:val="52"/>
          <w:highlight w:val="none"/>
        </w:rPr>
        <w:t>竞争性磋商文件</w:t>
      </w:r>
    </w:p>
    <w:p>
      <w:pPr>
        <w:spacing w:line="540" w:lineRule="exact"/>
        <w:ind w:firstLine="1280" w:firstLineChars="400"/>
        <w:rPr>
          <w:rFonts w:eastAsia="Times New Roman"/>
          <w:color w:val="auto"/>
          <w:sz w:val="32"/>
          <w:szCs w:val="32"/>
          <w:highlight w:val="none"/>
        </w:rPr>
      </w:pPr>
    </w:p>
    <w:p>
      <w:pPr>
        <w:spacing w:line="540" w:lineRule="exact"/>
        <w:ind w:firstLine="1280" w:firstLineChars="400"/>
        <w:rPr>
          <w:rFonts w:eastAsia="Times New Roman"/>
          <w:color w:val="auto"/>
          <w:sz w:val="32"/>
          <w:szCs w:val="32"/>
          <w:highlight w:val="none"/>
        </w:rPr>
      </w:pPr>
    </w:p>
    <w:p>
      <w:pPr>
        <w:pStyle w:val="2"/>
        <w:ind w:firstLine="2072" w:firstLineChars="645"/>
        <w:rPr>
          <w:rFonts w:eastAsia="黑体"/>
          <w:b/>
          <w:color w:val="auto"/>
          <w:sz w:val="32"/>
          <w:szCs w:val="32"/>
          <w:highlight w:val="none"/>
        </w:rPr>
      </w:pPr>
    </w:p>
    <w:p>
      <w:pPr>
        <w:pStyle w:val="2"/>
        <w:ind w:firstLine="2072" w:firstLineChars="645"/>
        <w:rPr>
          <w:rFonts w:eastAsia="黑体"/>
          <w:b/>
          <w:color w:val="auto"/>
          <w:sz w:val="32"/>
          <w:szCs w:val="32"/>
          <w:highlight w:val="none"/>
        </w:rPr>
      </w:pPr>
      <w:r>
        <w:rPr>
          <w:rFonts w:eastAsia="黑体"/>
          <w:b/>
          <w:color w:val="auto"/>
          <w:sz w:val="32"/>
          <w:szCs w:val="32"/>
          <w:highlight w:val="none"/>
        </w:rPr>
        <w:t xml:space="preserve"> </w:t>
      </w:r>
    </w:p>
    <w:p>
      <w:pPr>
        <w:pStyle w:val="2"/>
        <w:ind w:firstLine="2072" w:firstLineChars="645"/>
        <w:rPr>
          <w:rFonts w:eastAsia="黑体"/>
          <w:b/>
          <w:color w:val="auto"/>
          <w:sz w:val="32"/>
          <w:szCs w:val="32"/>
          <w:highlight w:val="none"/>
        </w:rPr>
      </w:pPr>
    </w:p>
    <w:p>
      <w:pPr>
        <w:pStyle w:val="2"/>
        <w:ind w:left="2690" w:leftChars="524" w:hanging="1590" w:hangingChars="495"/>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shd w:val="clear" w:color="auto" w:fill="C9E7FF"/>
        </w:rPr>
        <w:t>呼叫中心系统采购服务</w:t>
      </w:r>
      <w:r>
        <w:rPr>
          <w:rFonts w:hint="eastAsia" w:ascii="宋体" w:hAnsi="宋体" w:cs="宋体"/>
          <w:b/>
          <w:color w:val="auto"/>
          <w:sz w:val="32"/>
          <w:szCs w:val="32"/>
          <w:highlight w:val="none"/>
        </w:rPr>
        <w:t>项目</w:t>
      </w:r>
    </w:p>
    <w:p>
      <w:pPr>
        <w:pStyle w:val="2"/>
        <w:ind w:left="2690" w:leftChars="524" w:hanging="1590" w:hangingChars="495"/>
        <w:rPr>
          <w:rFonts w:eastAsia="Times New Roman"/>
          <w:b/>
          <w:color w:val="auto"/>
          <w:sz w:val="32"/>
          <w:szCs w:val="32"/>
          <w:highlight w:val="none"/>
        </w:rPr>
      </w:pPr>
      <w:r>
        <w:rPr>
          <w:rFonts w:ascii="宋体" w:hAnsi="宋体" w:cs="宋体"/>
          <w:b/>
          <w:color w:val="auto"/>
          <w:sz w:val="32"/>
          <w:szCs w:val="32"/>
          <w:highlight w:val="none"/>
        </w:rPr>
        <w:t>采购</w:t>
      </w:r>
      <w:r>
        <w:rPr>
          <w:rFonts w:hint="eastAsia" w:ascii="宋体" w:hAnsi="宋体" w:cs="宋体"/>
          <w:b/>
          <w:color w:val="auto"/>
          <w:sz w:val="32"/>
          <w:szCs w:val="32"/>
          <w:highlight w:val="none"/>
        </w:rPr>
        <w:t>单位：广西南博国际信息有限公司</w:t>
      </w:r>
      <w:r>
        <w:rPr>
          <w:rFonts w:eastAsia="Times New Roman"/>
          <w:b/>
          <w:color w:val="auto"/>
          <w:sz w:val="32"/>
          <w:szCs w:val="32"/>
          <w:highlight w:val="none"/>
        </w:rPr>
        <w:t xml:space="preserve"> </w:t>
      </w:r>
    </w:p>
    <w:bookmarkEnd w:id="0"/>
    <w:bookmarkEnd w:id="1"/>
    <w:p>
      <w:pPr>
        <w:tabs>
          <w:tab w:val="left" w:pos="632"/>
        </w:tabs>
        <w:rPr>
          <w:rFonts w:eastAsia="Times New Roman"/>
          <w:b/>
          <w:bCs/>
          <w:color w:val="auto"/>
          <w:sz w:val="36"/>
          <w:szCs w:val="36"/>
          <w:highlight w:val="none"/>
        </w:rPr>
      </w:pPr>
    </w:p>
    <w:p>
      <w:pPr>
        <w:tabs>
          <w:tab w:val="left" w:pos="632"/>
        </w:tabs>
        <w:jc w:val="center"/>
        <w:rPr>
          <w:rFonts w:eastAsia="Times New Roman"/>
          <w:b/>
          <w:bCs/>
          <w:color w:val="auto"/>
          <w:sz w:val="36"/>
          <w:szCs w:val="36"/>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spacing w:line="540" w:lineRule="exact"/>
        <w:ind w:firstLine="3040" w:firstLineChars="950"/>
        <w:rPr>
          <w:rFonts w:eastAsia="Times New Roman"/>
          <w:color w:val="auto"/>
          <w:sz w:val="32"/>
          <w:szCs w:val="32"/>
          <w:highlight w:val="none"/>
        </w:rPr>
      </w:pPr>
      <w:r>
        <w:rPr>
          <w:rFonts w:hint="eastAsia"/>
          <w:color w:val="auto"/>
          <w:sz w:val="32"/>
          <w:szCs w:val="32"/>
          <w:highlight w:val="none"/>
        </w:rPr>
        <w:t>2021</w:t>
      </w:r>
      <w:r>
        <w:rPr>
          <w:rFonts w:hint="eastAsia" w:ascii="宋体" w:hAnsi="宋体" w:cs="宋体"/>
          <w:color w:val="auto"/>
          <w:sz w:val="32"/>
          <w:szCs w:val="32"/>
          <w:highlight w:val="none"/>
        </w:rPr>
        <w:t>年</w:t>
      </w:r>
      <w:r>
        <w:rPr>
          <w:color w:val="auto"/>
          <w:sz w:val="32"/>
          <w:szCs w:val="32"/>
          <w:highlight w:val="none"/>
        </w:rPr>
        <w:t xml:space="preserve"> </w:t>
      </w:r>
      <w:r>
        <w:rPr>
          <w:rFonts w:hint="eastAsia"/>
          <w:color w:val="auto"/>
          <w:sz w:val="32"/>
          <w:szCs w:val="32"/>
          <w:highlight w:val="none"/>
          <w:lang w:eastAsia="zh-CN"/>
        </w:rPr>
        <w:t>1</w:t>
      </w:r>
      <w:r>
        <w:rPr>
          <w:rFonts w:hint="eastAsia"/>
          <w:color w:val="auto"/>
          <w:sz w:val="32"/>
          <w:szCs w:val="32"/>
          <w:highlight w:val="none"/>
          <w:lang w:val="en-US" w:eastAsia="zh-CN"/>
        </w:rPr>
        <w:t>2</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eastAsia="zh-CN"/>
        </w:rPr>
        <w:t>1</w:t>
      </w:r>
      <w:r>
        <w:rPr>
          <w:rFonts w:hint="eastAsia" w:ascii="宋体" w:hAnsi="宋体" w:cs="宋体"/>
          <w:color w:val="auto"/>
          <w:sz w:val="32"/>
          <w:szCs w:val="32"/>
          <w:highlight w:val="none"/>
          <w:lang w:val="en-US" w:eastAsia="zh-CN"/>
        </w:rPr>
        <w:t>6</w:t>
      </w:r>
      <w:r>
        <w:rPr>
          <w:rFonts w:hint="eastAsia" w:ascii="宋体" w:hAnsi="宋体" w:cs="宋体"/>
          <w:color w:val="auto"/>
          <w:sz w:val="32"/>
          <w:szCs w:val="32"/>
          <w:highlight w:val="none"/>
        </w:rPr>
        <w:t>日</w:t>
      </w:r>
    </w:p>
    <w:p>
      <w:pPr>
        <w:tabs>
          <w:tab w:val="left" w:pos="632"/>
        </w:tabs>
        <w:rPr>
          <w:b/>
          <w:bCs/>
          <w:color w:val="auto"/>
          <w:sz w:val="18"/>
          <w:szCs w:val="18"/>
          <w:highlight w:val="none"/>
        </w:rPr>
      </w:pPr>
    </w:p>
    <w:p>
      <w:pPr>
        <w:spacing w:line="400" w:lineRule="exact"/>
        <w:jc w:val="center"/>
        <w:rPr>
          <w:b/>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701" w:right="1531" w:bottom="1701" w:left="1701" w:header="851" w:footer="992" w:gutter="0"/>
          <w:pgNumType w:start="1"/>
          <w:cols w:space="720" w:num="1"/>
          <w:titlePg/>
          <w:docGrid w:type="lines" w:linePitch="312" w:charSpace="0"/>
        </w:sectPr>
      </w:pPr>
    </w:p>
    <w:p>
      <w:pPr>
        <w:jc w:val="center"/>
        <w:rPr>
          <w:rFonts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目</w:t>
      </w:r>
      <w:r>
        <w:rPr>
          <w:rFonts w:ascii="华文中宋" w:hAnsi="华文中宋" w:eastAsia="华文中宋" w:cs="华文中宋"/>
          <w:color w:val="auto"/>
          <w:sz w:val="44"/>
          <w:szCs w:val="44"/>
          <w:highlight w:val="none"/>
        </w:rPr>
        <w:t xml:space="preserve">  </w:t>
      </w:r>
      <w:r>
        <w:rPr>
          <w:rFonts w:hint="eastAsia" w:ascii="华文中宋" w:hAnsi="华文中宋" w:eastAsia="华文中宋" w:cs="华文中宋"/>
          <w:color w:val="auto"/>
          <w:sz w:val="44"/>
          <w:szCs w:val="44"/>
          <w:highlight w:val="none"/>
        </w:rPr>
        <w:t>录</w:t>
      </w:r>
    </w:p>
    <w:p>
      <w:pPr>
        <w:pStyle w:val="11"/>
        <w:ind w:firstLine="241"/>
        <w:rPr>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ascii="Times New Roman" w:hAnsi="Times New Roman"/>
          <w:color w:val="auto"/>
          <w:sz w:val="36"/>
          <w:szCs w:val="36"/>
          <w:highlight w:val="none"/>
        </w:rPr>
        <w:fldChar w:fldCharType="begin"/>
      </w:r>
      <w:r>
        <w:rPr>
          <w:rFonts w:ascii="Times New Roman" w:hAnsi="Times New Roman"/>
          <w:color w:val="auto"/>
          <w:sz w:val="36"/>
          <w:szCs w:val="36"/>
          <w:highlight w:val="none"/>
        </w:rPr>
        <w:instrText xml:space="preserve">TOC \o "1-3" \h \u </w:instrText>
      </w:r>
      <w:r>
        <w:rPr>
          <w:rFonts w:ascii="Times New Roman" w:hAnsi="Times New Roman"/>
          <w:color w:val="auto"/>
          <w:sz w:val="36"/>
          <w:szCs w:val="36"/>
          <w:highlight w:val="none"/>
        </w:rPr>
        <w:fldChar w:fldCharType="separate"/>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"_Toc3917"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第一章</w:t>
      </w:r>
      <w:r>
        <w:rPr>
          <w:rFonts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rPr>
        <w:t>竞争性磋商公告</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2</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"_Toc13647"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第二章</w:t>
      </w:r>
      <w:r>
        <w:rPr>
          <w:rFonts w:ascii="仿宋_GB2312" w:hAnsi="仿宋_GB2312" w:eastAsia="仿宋_GB2312" w:cs="仿宋_GB2312"/>
          <w:b w:val="0"/>
          <w:bCs w:val="0"/>
          <w:color w:val="auto"/>
          <w:sz w:val="28"/>
          <w:szCs w:val="28"/>
          <w:highlight w:val="none"/>
        </w:rPr>
        <w:t xml:space="preserve">  项目服务要求</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4</w:t>
      </w:r>
      <w:r>
        <w:rPr>
          <w:rFonts w:hint="eastAsia" w:ascii="仿宋_GB2312" w:hAnsi="仿宋_GB2312" w:eastAsia="仿宋_GB2312" w:cs="仿宋_GB2312"/>
          <w:color w:val="auto"/>
          <w:highlight w:val="none"/>
        </w:rPr>
        <w:fldChar w:fldCharType="end"/>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"_Toc15560"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第三章</w:t>
      </w:r>
      <w:r>
        <w:rPr>
          <w:rFonts w:ascii="仿宋_GB2312" w:hAnsi="仿宋_GB2312" w:eastAsia="仿宋_GB2312" w:cs="仿宋_GB2312"/>
          <w:b w:val="0"/>
          <w:bCs w:val="0"/>
          <w:color w:val="auto"/>
          <w:sz w:val="28"/>
          <w:szCs w:val="28"/>
          <w:highlight w:val="none"/>
        </w:rPr>
        <w:t xml:space="preserve">  供应商须知及前附表</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8</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\l "_Toc1629" </w:instrText>
      </w:r>
      <w:r>
        <w:rPr>
          <w:rFonts w:hint="eastAsia" w:ascii="仿宋_GB2312" w:hAnsi="仿宋_GB2312" w:eastAsia="仿宋_GB2312" w:cs="仿宋_GB2312"/>
          <w:b w:val="0"/>
          <w:bCs w:val="0"/>
          <w:color w:val="auto"/>
          <w:highlight w:val="none"/>
        </w:rPr>
        <w:fldChar w:fldCharType="separate"/>
      </w:r>
      <w:r>
        <w:rPr>
          <w:rFonts w:hint="eastAsia" w:ascii="仿宋_GB2312" w:hAnsi="仿宋_GB2312" w:eastAsia="仿宋_GB2312" w:cs="仿宋_GB2312"/>
          <w:b w:val="0"/>
          <w:bCs w:val="0"/>
          <w:color w:val="auto"/>
          <w:sz w:val="28"/>
          <w:szCs w:val="28"/>
          <w:highlight w:val="none"/>
        </w:rPr>
        <w:t>第四章  评定成交的标准</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highlight w:val="none"/>
        </w:rPr>
        <w:fldChar w:fldCharType="end"/>
      </w:r>
      <w:r>
        <w:rPr>
          <w:rFonts w:hint="eastAsia" w:ascii="仿宋_GB2312" w:hAnsi="仿宋_GB2312" w:eastAsia="仿宋_GB2312" w:cs="仿宋_GB2312"/>
          <w:b w:val="0"/>
          <w:bCs w:val="0"/>
          <w:color w:val="auto"/>
          <w:sz w:val="28"/>
          <w:szCs w:val="28"/>
          <w:highlight w:val="none"/>
        </w:rPr>
        <w:t>4</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\l "_Toc1629" </w:instrText>
      </w:r>
      <w:r>
        <w:rPr>
          <w:rFonts w:hint="eastAsia" w:ascii="仿宋_GB2312" w:hAnsi="仿宋_GB2312" w:eastAsia="仿宋_GB2312" w:cs="仿宋_GB2312"/>
          <w:b w:val="0"/>
          <w:bCs w:val="0"/>
          <w:color w:val="auto"/>
          <w:highlight w:val="none"/>
        </w:rPr>
        <w:fldChar w:fldCharType="separate"/>
      </w:r>
      <w:r>
        <w:rPr>
          <w:rFonts w:hint="eastAsia" w:ascii="仿宋_GB2312" w:hAnsi="仿宋_GB2312" w:eastAsia="仿宋_GB2312" w:cs="仿宋_GB2312"/>
          <w:b w:val="0"/>
          <w:bCs w:val="0"/>
          <w:color w:val="auto"/>
          <w:sz w:val="28"/>
          <w:szCs w:val="28"/>
          <w:highlight w:val="none"/>
        </w:rPr>
        <w:t>第五章  合同格式</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highlight w:val="none"/>
        </w:rPr>
        <w:fldChar w:fldCharType="end"/>
      </w:r>
      <w:r>
        <w:rPr>
          <w:rFonts w:hint="eastAsia" w:ascii="仿宋_GB2312" w:hAnsi="仿宋_GB2312" w:eastAsia="仿宋_GB2312" w:cs="仿宋_GB2312"/>
          <w:b w:val="0"/>
          <w:bCs w:val="0"/>
          <w:color w:val="auto"/>
          <w:sz w:val="28"/>
          <w:szCs w:val="28"/>
          <w:highlight w:val="none"/>
        </w:rPr>
        <w:t>23</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"_Toc24295"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w:t>
      </w:r>
      <w:r>
        <w:rPr>
          <w:rFonts w:ascii="仿宋_GB2312" w:hAnsi="仿宋_GB2312" w:eastAsia="仿宋_GB2312" w:cs="仿宋_GB2312"/>
          <w:b w:val="0"/>
          <w:bCs w:val="0"/>
          <w:color w:val="auto"/>
          <w:sz w:val="28"/>
          <w:szCs w:val="28"/>
          <w:highlight w:val="none"/>
        </w:rPr>
        <w:t>六</w:t>
      </w:r>
      <w:r>
        <w:rPr>
          <w:rFonts w:hint="eastAsia" w:ascii="仿宋_GB2312" w:hAnsi="仿宋_GB2312" w:eastAsia="仿宋_GB2312" w:cs="仿宋_GB2312"/>
          <w:b w:val="0"/>
          <w:bCs w:val="0"/>
          <w:color w:val="auto"/>
          <w:sz w:val="28"/>
          <w:szCs w:val="28"/>
          <w:highlight w:val="none"/>
        </w:rPr>
        <w:t>章</w:t>
      </w:r>
      <w:r>
        <w:rPr>
          <w:rFonts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rPr>
        <w:t>响应文件格式</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34</w:t>
      </w:r>
    </w:p>
    <w:p>
      <w:pPr>
        <w:rPr>
          <w:color w:val="auto"/>
          <w:highlight w:val="none"/>
        </w:rPr>
      </w:pPr>
    </w:p>
    <w:p>
      <w:pPr>
        <w:tabs>
          <w:tab w:val="left" w:pos="632"/>
        </w:tabs>
        <w:rPr>
          <w:b/>
          <w:bCs/>
          <w:color w:val="auto"/>
          <w:sz w:val="36"/>
          <w:szCs w:val="36"/>
          <w:highlight w:val="none"/>
        </w:rPr>
      </w:pPr>
      <w:r>
        <w:rPr>
          <w:color w:val="auto"/>
          <w:sz w:val="36"/>
          <w:szCs w:val="36"/>
          <w:highlight w:val="none"/>
        </w:rPr>
        <w:fldChar w:fldCharType="end"/>
      </w: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left"/>
        <w:rPr>
          <w:b/>
          <w:bCs/>
          <w:color w:val="auto"/>
          <w:sz w:val="36"/>
          <w:szCs w:val="36"/>
          <w:highlight w:val="none"/>
        </w:rPr>
      </w:pPr>
    </w:p>
    <w:p>
      <w:pPr>
        <w:spacing w:line="400" w:lineRule="exact"/>
        <w:jc w:val="left"/>
        <w:rPr>
          <w:b/>
          <w:color w:val="auto"/>
          <w:sz w:val="32"/>
          <w:szCs w:val="32"/>
          <w:highlight w:val="none"/>
        </w:rPr>
        <w:sectPr>
          <w:headerReference r:id="rId8" w:type="default"/>
          <w:footerReference r:id="rId9" w:type="default"/>
          <w:pgSz w:w="11906" w:h="16838"/>
          <w:pgMar w:top="1418" w:right="1418" w:bottom="1418" w:left="1418" w:header="851" w:footer="992" w:gutter="0"/>
          <w:pgNumType w:start="1"/>
          <w:cols w:space="720" w:num="1"/>
          <w:docGrid w:type="lines" w:linePitch="312" w:charSpace="0"/>
        </w:sectPr>
      </w:pPr>
    </w:p>
    <w:p>
      <w:pPr>
        <w:tabs>
          <w:tab w:val="left" w:pos="632"/>
        </w:tabs>
        <w:jc w:val="center"/>
        <w:outlineLvl w:val="0"/>
        <w:rPr>
          <w:rFonts w:hint="eastAsia" w:eastAsia="华文中宋"/>
          <w:color w:val="auto"/>
          <w:sz w:val="32"/>
          <w:szCs w:val="32"/>
          <w:highlight w:val="none"/>
        </w:rPr>
      </w:pPr>
      <w:bookmarkStart w:id="2" w:name="_Toc3917"/>
      <w:r>
        <w:rPr>
          <w:rFonts w:hint="eastAsia" w:eastAsia="华文中宋"/>
          <w:color w:val="auto"/>
          <w:sz w:val="32"/>
          <w:szCs w:val="32"/>
          <w:highlight w:val="none"/>
        </w:rPr>
        <w:t>第一章</w:t>
      </w:r>
      <w:r>
        <w:rPr>
          <w:rFonts w:eastAsia="华文中宋"/>
          <w:color w:val="auto"/>
          <w:sz w:val="32"/>
          <w:szCs w:val="32"/>
          <w:highlight w:val="none"/>
        </w:rPr>
        <w:t xml:space="preserve">  </w:t>
      </w:r>
      <w:bookmarkEnd w:id="2"/>
      <w:r>
        <w:rPr>
          <w:rFonts w:hint="eastAsia" w:eastAsia="华文中宋"/>
          <w:color w:val="auto"/>
          <w:sz w:val="32"/>
          <w:szCs w:val="32"/>
          <w:highlight w:val="none"/>
        </w:rPr>
        <w:t>竞争性磋商公告</w:t>
      </w:r>
    </w:p>
    <w:p>
      <w:pPr>
        <w:tabs>
          <w:tab w:val="left" w:pos="632"/>
        </w:tabs>
        <w:spacing w:line="560" w:lineRule="exact"/>
        <w:ind w:firstLine="560" w:firstLineChars="200"/>
        <w:jc w:val="left"/>
        <w:rPr>
          <w:rFonts w:hint="eastAsia" w:ascii="仿宋_GB2312" w:hAnsi="仿宋_GB2312" w:eastAsia="仿宋_GB2312" w:cs="仿宋_GB2312"/>
          <w:b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广西南博国际信息有限公司针对客服热线系统服务项目采用竞争性磋商方式进行采购，现将有关事项公告如下：</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一、项目名称：</w:t>
      </w:r>
      <w:r>
        <w:rPr>
          <w:rFonts w:hint="eastAsia" w:ascii="仿宋_GB2312" w:hAnsi="仿宋_GB2312" w:eastAsia="仿宋_GB2312" w:cs="仿宋_GB2312"/>
          <w:bCs/>
          <w:color w:val="auto"/>
          <w:sz w:val="28"/>
          <w:szCs w:val="28"/>
          <w:highlight w:val="none"/>
        </w:rPr>
        <w:t>呼叫中心系统采购服务项目</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二、采购组织类型：</w:t>
      </w:r>
      <w:r>
        <w:rPr>
          <w:rFonts w:hint="eastAsia" w:ascii="仿宋_GB2312" w:hAnsi="仿宋_GB2312" w:eastAsia="仿宋_GB2312" w:cs="仿宋_GB2312"/>
          <w:bCs/>
          <w:color w:val="auto"/>
          <w:sz w:val="28"/>
          <w:szCs w:val="28"/>
          <w:highlight w:val="none"/>
        </w:rPr>
        <w:t>非政府采购项目</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三、采购内容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呼叫系统及客服人员服务；具体内容详见竞争性磋商文件。</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四、项目预算</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
          <w:i/>
          <w:iCs/>
          <w:color w:val="auto"/>
          <w:sz w:val="28"/>
          <w:szCs w:val="28"/>
          <w:highlight w:val="none"/>
        </w:rPr>
      </w:pPr>
      <w:r>
        <w:rPr>
          <w:rFonts w:hint="eastAsia" w:ascii="仿宋_GB2312" w:hAnsi="仿宋_GB2312" w:eastAsia="仿宋_GB2312" w:cs="仿宋_GB2312"/>
          <w:bCs/>
          <w:color w:val="auto"/>
          <w:sz w:val="28"/>
          <w:szCs w:val="28"/>
          <w:highlight w:val="none"/>
        </w:rPr>
        <w:t>人民币31.5</w:t>
      </w:r>
      <w:r>
        <w:rPr>
          <w:rFonts w:hint="default" w:ascii="仿宋_GB2312" w:hAnsi="仿宋_GB2312" w:eastAsia="仿宋_GB2312" w:cs="仿宋_GB2312"/>
          <w:bCs/>
          <w:color w:val="auto"/>
          <w:sz w:val="28"/>
          <w:szCs w:val="28"/>
          <w:highlight w:val="none"/>
        </w:rPr>
        <w:t>0</w:t>
      </w:r>
      <w:r>
        <w:rPr>
          <w:rFonts w:hint="eastAsia" w:ascii="仿宋_GB2312" w:hAnsi="仿宋_GB2312" w:eastAsia="仿宋_GB2312" w:cs="仿宋_GB2312"/>
          <w:bCs/>
          <w:color w:val="auto"/>
          <w:sz w:val="28"/>
          <w:szCs w:val="28"/>
          <w:highlight w:val="none"/>
        </w:rPr>
        <w:t>万元（¥315,000.00）。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五、供应商资格</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（一）国内注册（指按国家有关规定要求注册的），提供本次竞争性磋商采购服务，具备法人资格的供应商或其下属分支机构。</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（二）诚实守信，近三年内无违法及不良诚信记录。</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（四）单位负责人为同一人或者存在直接控股、管理关系的不同投标人，不得参加同一合同项下的采购活动。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（五）本项目不接受联合体竞标。</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六、竞标保证金：</w:t>
      </w:r>
      <w:r>
        <w:rPr>
          <w:rFonts w:hint="eastAsia" w:ascii="仿宋_GB2312" w:hAnsi="仿宋_GB2312" w:eastAsia="仿宋_GB2312" w:cs="仿宋_GB2312"/>
          <w:bCs/>
          <w:color w:val="auto"/>
          <w:sz w:val="28"/>
          <w:szCs w:val="28"/>
          <w:highlight w:val="none"/>
        </w:rPr>
        <w:t>无。</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七、竞争性磋商文件的获取</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本公告自发布之日起，凡符合竞标资质要求的公司有意参加者均可前来报名竞标，竞争性磋商文件详见广西国际博览集团官网（http://www.gxexpogp.cn/）发布的磋商公告。</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获取时间：2021年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日公告发布之时起至2021年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2</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lang w:val="en-US" w:eastAsia="zh-CN"/>
        </w:rPr>
        <w:t>9：00</w:t>
      </w:r>
      <w:r>
        <w:rPr>
          <w:rFonts w:hint="eastAsia" w:ascii="仿宋_GB2312" w:hAnsi="仿宋_GB2312" w:eastAsia="仿宋_GB2312" w:cs="仿宋_GB2312"/>
          <w:bCs/>
          <w:color w:val="auto"/>
          <w:sz w:val="28"/>
          <w:szCs w:val="28"/>
          <w:highlight w:val="none"/>
        </w:rPr>
        <w:t xml:space="preserve"> 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八、响应文件截止递交时间和地点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（一）响应文件截止递交时间：2021年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日8:00—2021年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2</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1:30</w:t>
      </w:r>
      <w:r>
        <w:rPr>
          <w:rFonts w:hint="eastAsia" w:ascii="仿宋_GB2312" w:hAnsi="仿宋_GB2312" w:eastAsia="仿宋_GB2312" w:cs="仿宋_GB2312"/>
          <w:bCs/>
          <w:color w:val="auto"/>
          <w:sz w:val="28"/>
          <w:szCs w:val="28"/>
          <w:highlight w:val="none"/>
        </w:rPr>
        <w:t>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（二）响应文件递交地点：广西南宁市民族大道106号南宁国际会展中心行政综合楼北302室，响应文件纸质版密封投递。</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九、响应文件开启时间、磋商时间及地点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2</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:00为开启响应文件及与供应商磋商时间</w:t>
      </w:r>
      <w:r>
        <w:rPr>
          <w:rFonts w:hint="default" w:ascii="仿宋_GB2312" w:hAnsi="仿宋_GB2312" w:eastAsia="仿宋_GB2312" w:cs="仿宋_GB2312"/>
          <w:bCs/>
          <w:color w:val="auto"/>
          <w:sz w:val="28"/>
          <w:szCs w:val="28"/>
          <w:highlight w:val="none"/>
        </w:rPr>
        <w:t>，具体地点由采购商另行通知。</w:t>
      </w:r>
      <w:r>
        <w:rPr>
          <w:rFonts w:hint="eastAsia" w:ascii="仿宋_GB2312" w:hAnsi="仿宋_GB2312" w:eastAsia="仿宋_GB2312" w:cs="仿宋_GB2312"/>
          <w:bCs/>
          <w:color w:val="auto"/>
          <w:sz w:val="28"/>
          <w:szCs w:val="28"/>
          <w:highlight w:val="none"/>
        </w:rPr>
        <w:t>参加竞争性磋商的法定代表人/负责人或委托代理人必须持证件（法定代表人/负责人凭法定代表人/负责人</w:t>
      </w:r>
      <w:r>
        <w:rPr>
          <w:rFonts w:hint="eastAsia" w:ascii="仿宋_GB2312" w:hAnsi="仿宋_GB2312" w:eastAsia="仿宋_GB2312" w:cs="仿宋_GB2312"/>
          <w:color w:val="auto"/>
          <w:sz w:val="28"/>
          <w:szCs w:val="28"/>
          <w:highlight w:val="none"/>
        </w:rPr>
        <w:t>身份证明书</w:t>
      </w:r>
      <w:r>
        <w:rPr>
          <w:rFonts w:hint="eastAsia" w:ascii="仿宋_GB2312" w:hAnsi="仿宋_GB2312" w:eastAsia="仿宋_GB2312" w:cs="仿宋_GB2312"/>
          <w:bCs/>
          <w:color w:val="auto"/>
          <w:sz w:val="28"/>
          <w:szCs w:val="28"/>
          <w:highlight w:val="none"/>
        </w:rPr>
        <w:t>和身份证原件或委托代理人凭法定代表人/负责人授权委托书原件和身份证原件）依时到达指定地点等候当面磋商。</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十、业务咨询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联系人：李先生</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联系电话：0771-5519058</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地址：广西南宁市民族大道106号南宁国际会展中心行政综合楼北302室</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邮编：530021</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十一、监督与投诉</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广西国际博览集团有限公司经营管理部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联系人：周虹，联系电话：0771-2212640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地址：南宁市青秀区会展路18号会展大厦11楼，邮编：530000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十二、网上公告媒体查询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广西国际博览集团有限公司官方网（http://www.gxexpogp.cn）</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十三、公告期限</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本招标公告期限为自发布之日起3个工作日。</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Cs/>
          <w:i/>
          <w:iCs/>
          <w:color w:val="auto"/>
          <w:sz w:val="28"/>
          <w:szCs w:val="28"/>
          <w:highlight w:val="none"/>
        </w:rPr>
      </w:pPr>
      <w:r>
        <w:rPr>
          <w:rFonts w:hint="eastAsia" w:ascii="仿宋_GB2312" w:hAnsi="仿宋_GB2312" w:eastAsia="仿宋_GB2312" w:cs="仿宋_GB2312"/>
          <w:bCs/>
          <w:i/>
          <w:iCs/>
          <w:color w:val="auto"/>
          <w:sz w:val="28"/>
          <w:szCs w:val="28"/>
          <w:highlight w:val="none"/>
        </w:rPr>
        <w:t xml:space="preserve">                                  </w:t>
      </w:r>
      <w:r>
        <w:rPr>
          <w:rFonts w:hint="eastAsia" w:ascii="仿宋_GB2312" w:hAnsi="仿宋_GB2312" w:eastAsia="仿宋_GB2312" w:cs="仿宋_GB2312"/>
          <w:bCs/>
          <w:color w:val="auto"/>
          <w:sz w:val="28"/>
          <w:szCs w:val="28"/>
          <w:highlight w:val="none"/>
        </w:rPr>
        <w:t xml:space="preserve">  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w:t>
      </w:r>
    </w:p>
    <w:p>
      <w:pPr>
        <w:rPr>
          <w:rFonts w:hint="eastAsia"/>
          <w:color w:val="auto"/>
          <w:highlight w:val="none"/>
        </w:rPr>
      </w:pPr>
      <w:bookmarkStart w:id="3" w:name="_Toc15560"/>
      <w:bookmarkStart w:id="4" w:name="_Toc13647"/>
      <w:bookmarkStart w:id="28" w:name="_GoBack"/>
      <w:bookmarkEnd w:id="28"/>
      <w:r>
        <w:rPr>
          <w:b/>
          <w:bCs/>
          <w:color w:val="auto"/>
          <w:sz w:val="36"/>
          <w:szCs w:val="36"/>
          <w:highlight w:val="none"/>
        </w:rPr>
        <w:br w:type="page"/>
      </w:r>
    </w:p>
    <w:p>
      <w:pPr>
        <w:tabs>
          <w:tab w:val="left" w:pos="632"/>
        </w:tabs>
        <w:jc w:val="center"/>
        <w:outlineLvl w:val="0"/>
        <w:rPr>
          <w:rFonts w:hint="eastAsia" w:eastAsia="华文中宋"/>
          <w:color w:val="auto"/>
          <w:sz w:val="32"/>
          <w:szCs w:val="32"/>
          <w:highlight w:val="none"/>
        </w:rPr>
      </w:pPr>
      <w:r>
        <w:rPr>
          <w:rFonts w:hint="eastAsia" w:eastAsia="华文中宋"/>
          <w:color w:val="auto"/>
          <w:sz w:val="32"/>
          <w:szCs w:val="32"/>
          <w:highlight w:val="none"/>
        </w:rPr>
        <w:t>第二章 项目</w:t>
      </w:r>
      <w:r>
        <w:rPr>
          <w:rFonts w:eastAsia="华文中宋"/>
          <w:color w:val="auto"/>
          <w:sz w:val="32"/>
          <w:szCs w:val="32"/>
          <w:highlight w:val="none"/>
        </w:rPr>
        <w:t>服务</w:t>
      </w:r>
      <w:r>
        <w:rPr>
          <w:rFonts w:hint="eastAsia" w:eastAsia="华文中宋"/>
          <w:color w:val="auto"/>
          <w:sz w:val="32"/>
          <w:szCs w:val="32"/>
          <w:highlight w:val="none"/>
        </w:rPr>
        <w:t>要求</w:t>
      </w:r>
      <w:bookmarkEnd w:id="3"/>
    </w:p>
    <w:p>
      <w:pPr>
        <w:pStyle w:val="11"/>
        <w:spacing w:line="600" w:lineRule="exact"/>
        <w:ind w:firstLine="0" w:firstLineChars="0"/>
        <w:rPr>
          <w:rFonts w:hint="eastAsia" w:ascii="仿宋_GB2312" w:hAnsi="仿宋_GB2312" w:eastAsia="仿宋_GB2312" w:cs="仿宋_GB2312"/>
          <w:b w:val="0"/>
          <w:caps w:val="0"/>
          <w:color w:val="auto"/>
          <w:sz w:val="28"/>
          <w:szCs w:val="28"/>
          <w:highlight w:val="none"/>
        </w:rPr>
      </w:pPr>
      <w:r>
        <w:rPr>
          <w:rFonts w:hint="eastAsia" w:ascii="仿宋_GB2312" w:hAnsi="仿宋_GB2312" w:eastAsia="仿宋_GB2312" w:cs="仿宋_GB2312"/>
          <w:b w:val="0"/>
          <w:caps w:val="0"/>
          <w:color w:val="auto"/>
          <w:sz w:val="28"/>
          <w:szCs w:val="28"/>
          <w:highlight w:val="none"/>
        </w:rPr>
        <w:t>说明：</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2.投标人投标文件中提供的证明材料和资质文件应真实，如出现虚假应标情况，投标人除了应接受有关部门的处罚外，还应依据《中华人民共和国合同法》的相关条款来确定赔偿金额。</w:t>
      </w:r>
    </w:p>
    <w:p>
      <w:pPr>
        <w:tabs>
          <w:tab w:val="left" w:pos="632"/>
        </w:tabs>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项目服务需求表</w:t>
      </w:r>
    </w:p>
    <w:tbl>
      <w:tblPr>
        <w:tblStyle w:val="1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6"/>
        <w:gridCol w:w="579"/>
        <w:gridCol w:w="51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blHeade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项号</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服务名称</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w:t>
            </w:r>
          </w:p>
        </w:tc>
        <w:tc>
          <w:tcPr>
            <w:tcW w:w="6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8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呼叫中心系统服务</w:t>
            </w:r>
          </w:p>
        </w:tc>
        <w:tc>
          <w:tcPr>
            <w:tcW w:w="57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套</w:t>
            </w:r>
          </w:p>
        </w:tc>
        <w:tc>
          <w:tcPr>
            <w:tcW w:w="609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★一、系统授权要求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1.中标人需授权采购方12个系统坐席账号，所提供的账号需为全渠道客服（含呼叫客服+在线客服+工单客服）；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2.通讯费用（含外呼话费和短信费）按实际使用量收费，按月度或季度结算；</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3.不限制甲方使用系统承接多个项目，支持接入多路号码。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二、系统主要功能指标</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★1.IVR导航，自定义规则，来电分发有条不紊；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2.智能路由，VIP/区域等多种，路由策略分配；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3.来电弹屏，客户精准识别，画像数据全面呈现；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4.呼叫Bar，支持转接、三方通话等，多种来电处理办法；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5.任务管理，销售数据一键批量导入导出，自定义分配至坐席；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6.联系计划，根据客户画像及历史记录，自定义客户联系计划；</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★7.质检与监控，可灵活设置质检规则，对在线客服和呼叫客服实时检控服务质量；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数据统计报表，提供多维度可导出的数据统计报表（含会话、在线客服、满意度评价、工单、客服工作量、工单分类、机器人回答量、维护工作量、呼入/呼出、通话报表、坐席和通话记录等数据统计），全面掌控整体运营状况；</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★9.工单客服，可自定义客服工单字段、模板和分类，流转、定时触发器，配合工单系统，调动其他版块资源协同处理；</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10.短信，自定义触发or通发，业务辅助or主动营销，三网融达；</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★11.知识库，同一平台客服知识库，呼叫实时快捷查看；单轮/多轮知识库问答管理及机器人智能学习；自定义词库与内部知识库的管理和查询；</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12.客户中心，小型CRM系统，客户信息一体化；可按照客户列表和公司列表分类导出客户数据；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13.支持多种渠道接入（含桌面网站、移动网站、APP、微信、微博和微信小程序等第三方平台）；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★14.机器人，可进行智能优化策略、关键词屏蔽和机器人转人工关键词设置等；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15.可进行在线和呼叫中心设置。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三、技术指标要求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★1.在线机器人客服（自带10万条机器人业务问答量）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（1）中标单位提供在线机器人知识库搭建服务，将采购方梳理的客服问题及答案，形成系统知识库；</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（2）要求提供词条量1500以内的常规知识库，超过1500条的每增加500条新增费用不超2千元人民币；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（3）话术场景调优；</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（4）支持第三方接口。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★2.呼叫中心组件（含工单客服）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（1）创建呼叫，能够进行呼叫监听、强插、强拆、支持三方通话、支持会议；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（2）支持线路部署方式包括中继线、实体电话线、云总机号码；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（3）支持智能路由：支持地域路由及VIP客户路由；</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 支持定制IVR；</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（5）提供通讯能力，保证通话清晰稳定；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（6）呼叫并发支持5000 CPS；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（7）座席数支持20000以上。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★3.在线客服组件（含工单客服）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（1）提供用户咨询入口、管理整个用户咨询的过程；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（2）收集用户咨询过程数据；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（3）用于用户接入组件提供技术服务；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（7）技术约束：java、tomcat、kafka、redis等均可。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★4.工单组件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（1）支持根据不同业务流程自定义工单模板、自定义字段、自定义报表；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（2）支持自动分配流转，根据业务定制需求；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（3）支持组合表单；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（4）支持邮件转工单。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5.用户中心</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（1）管理用户列表；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（2）管理公司列表；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（3）新建用户、筛选用户信息、新建公司、批量导入导出公司、用户信息；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★6.数据报表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（1）对数据统计结果的展示；</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（2）报表包含：会话报表、工单报表、通话报表、满意度报表、知识管理员工作量报表、访问统计报表等；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（3）数据处理延迟小于8s。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★7.数据统计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（1）对业务运行产生数据做分类统计；统计内容包含：会话统计、工作量统计、访问统计、满意度统计、质检统计、热点业务问题统计、座席统计、工单统计等；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（2）单个报表平均响应时间小于2s，最高不超过5s；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（5）技术约束：scala、spark、kafka、mysql等均可。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8.开放接口平台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（1）要求针对智能交互功能、知识库等功能提供标准restful接口；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（5）技术约束：java EE、JWT、tomcat等均可。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★9.用户端接入组件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（1）提供用户端接入要求：web、H5、微信（原生+H5）、微博、sdk、微信企业号、小程序；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（2）SDK崩溃率小于0.02%；</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（3）平均响应时间小于0.5ms；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（4）技术约束：java、object c、swift、h5、javascript、css等均可。</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★四、系统功能清单如下：</w:t>
            </w:r>
          </w:p>
          <w:tbl>
            <w:tblPr>
              <w:tblStyle w:val="14"/>
              <w:tblW w:w="5814" w:type="dxa"/>
              <w:jc w:val="center"/>
              <w:tblLayout w:type="fixed"/>
              <w:tblCellMar>
                <w:top w:w="0" w:type="dxa"/>
                <w:left w:w="0" w:type="dxa"/>
                <w:bottom w:w="0" w:type="dxa"/>
                <w:right w:w="0" w:type="dxa"/>
              </w:tblCellMar>
            </w:tblPr>
            <w:tblGrid>
              <w:gridCol w:w="1167"/>
              <w:gridCol w:w="1597"/>
              <w:gridCol w:w="1597"/>
              <w:gridCol w:w="1453"/>
            </w:tblGrid>
            <w:tr>
              <w:tblPrEx>
                <w:tblCellMar>
                  <w:top w:w="0" w:type="dxa"/>
                  <w:left w:w="0" w:type="dxa"/>
                  <w:bottom w:w="0" w:type="dxa"/>
                  <w:right w:w="0" w:type="dxa"/>
                </w:tblCellMar>
              </w:tblPrEx>
              <w:trPr>
                <w:trHeight w:val="265" w:hRule="atLeast"/>
                <w:jc w:val="center"/>
              </w:trPr>
              <w:tc>
                <w:tcPr>
                  <w:tcW w:w="5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362"/>
                    </w:tabs>
                    <w:spacing w:before="0" w:beforeAutospacing="0" w:after="0" w:afterAutospacing="0"/>
                    <w:ind w:left="0" w:right="0"/>
                    <w:textAlignment w:val="center"/>
                    <w:rPr>
                      <w:rFonts w:hint="eastAsia" w:ascii="仿宋_GB2312" w:hAnsi="仿宋_GB2312" w:eastAsia="仿宋_GB2312" w:cs="仿宋_GB2312"/>
                      <w:b/>
                      <w:color w:val="auto"/>
                      <w:kern w:val="0"/>
                      <w:sz w:val="24"/>
                      <w:highlight w:val="none"/>
                      <w:lang w:bidi="ar"/>
                    </w:rPr>
                  </w:pPr>
                  <w:r>
                    <w:rPr>
                      <w:rFonts w:hint="eastAsia" w:ascii="仿宋_GB2312" w:hAnsi="仿宋_GB2312" w:eastAsia="仿宋_GB2312" w:cs="仿宋_GB2312"/>
                      <w:b/>
                      <w:color w:val="auto"/>
                      <w:kern w:val="0"/>
                      <w:sz w:val="24"/>
                      <w:highlight w:val="none"/>
                      <w:lang w:bidi="ar"/>
                    </w:rPr>
                    <w:t>1.呼叫系统主账号界面功能清单</w:t>
                  </w: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一级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二级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三级</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四级</w:t>
                  </w: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首页</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我的工单</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我的接待</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在线监控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电话坐席监控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工单查询</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待处理的工单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我创建的工单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我解决的工单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SLA服务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大于24小时未分配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大于48小时未解决</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知识库</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单轮问题管理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多轮问题管理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智能学习</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未知问题学习</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管理设置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接口管理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属性设置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属性类别管理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自定义词库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寒暄问题</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同义词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专业名词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内部知识库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客户中心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客户列表 </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公司列表 </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统计</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满意度评价统计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工单统计概览</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客服工作量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工单分类统计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机器人回答统计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维护工作量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客户反馈</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通话报表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坐席统计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呼入统计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呼出统计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质检</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会话质检</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会话质检结果</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在线客服质检报表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通话质检</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呼叫客服得分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通话质检记录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系统设置</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功能设置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上下班时间设置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自定义字段</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客服状态自定义</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支持渠道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桌面网站</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移动网站</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APP</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企业微信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微信小程序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第三方平台</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机器人信息</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智能优化策略</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关键词屏蔽</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转人工关键词设置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客服工作台设置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会话自动应答</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询前表单设置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留言设置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在线质检评分方案设定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人工满意度评价设置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会话报警设置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敏感词设置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电销技能组设置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坐席号码设置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呼叫质检评分方案设定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IVR设置</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基础设置</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IVR流程设置</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自定义语音库</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工单自定义字段</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工单自定义模板</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工单自定义分类</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流转触发器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定时触发器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工单处理时效（SLA）</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客服管理</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组织架构</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310" w:hRule="atLeast"/>
                <w:jc w:val="center"/>
              </w:trPr>
              <w:tc>
                <w:tcPr>
                  <w:tcW w:w="5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lang w:bidi="ar"/>
                    </w:rPr>
                    <w:t>2.呼叫系统客服账号界面功能清单</w:t>
                  </w: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首页</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我的工单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我的接待</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我的通话</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工单查询</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自定义查询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待处理的工单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我创建的工单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我解决的工单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SLA服务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大于24小时未分配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大于48小时未解决</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内部知识库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知识查询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通话记录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联系计划</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短信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单发短信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我的短信记录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bl>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77"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86"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宋体" w:hAnsi="宋体" w:cs="宋体"/>
                <w:color w:val="auto"/>
                <w:sz w:val="22"/>
                <w:szCs w:val="22"/>
                <w:highlight w:val="none"/>
              </w:rPr>
            </w:pPr>
            <w:r>
              <w:rPr>
                <w:rFonts w:hint="eastAsia" w:ascii="仿宋_GB2312" w:hAnsi="仿宋_GB2312" w:eastAsia="仿宋_GB2312" w:cs="仿宋_GB2312"/>
                <w:color w:val="auto"/>
                <w:sz w:val="24"/>
                <w:highlight w:val="none"/>
              </w:rPr>
              <w:t>驻场客服服务</w:t>
            </w:r>
          </w:p>
        </w:tc>
        <w:tc>
          <w:tcPr>
            <w:tcW w:w="579" w:type="dxa"/>
            <w:vMerge w:val="restart"/>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w:t>
            </w:r>
          </w:p>
        </w:tc>
        <w:tc>
          <w:tcPr>
            <w:tcW w:w="60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★一、中英双语客服1人，服务期限1年，要求如下：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2.学历为大专及以上；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default" w:ascii="仿宋_GB2312" w:hAnsi="仿宋_GB2312" w:eastAsia="仿宋_GB2312" w:cs="仿宋_GB2312"/>
                <w:color w:val="auto"/>
                <w:sz w:val="24"/>
                <w:highlight w:val="none"/>
              </w:rPr>
              <w:t>主要从事语音和在线客服工作，同时</w:t>
            </w:r>
            <w:r>
              <w:rPr>
                <w:rFonts w:hint="eastAsia" w:ascii="仿宋_GB2312" w:hAnsi="仿宋_GB2312" w:eastAsia="仿宋_GB2312" w:cs="仿宋_GB2312"/>
                <w:color w:val="auto"/>
                <w:sz w:val="24"/>
                <w:highlight w:val="none"/>
              </w:rPr>
              <w:t>需协助高级客服人员完成培训、管理等工作。此外，需根据采购方的要求定期提供业务数据报告。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Times New Roman" w:hAnsi="Times New Roman" w:cs="Times New Roman"/>
                <w:color w:val="auto"/>
                <w:highlight w:val="none"/>
              </w:rPr>
            </w:pPr>
          </w:p>
        </w:tc>
        <w:tc>
          <w:tcPr>
            <w:tcW w:w="48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57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p>
        </w:tc>
        <w:tc>
          <w:tcPr>
            <w:tcW w:w="51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p>
        </w:tc>
        <w:tc>
          <w:tcPr>
            <w:tcW w:w="609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★二、会期中英双语客服2人，服务期限4个月。要求如下：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2.学历为大专及以上；</w:t>
            </w:r>
          </w:p>
          <w:p>
            <w:pPr>
              <w:keepNext w:val="0"/>
              <w:keepLines w:val="0"/>
              <w:widowControl/>
              <w:suppressLineNumbers w:val="0"/>
              <w:snapToGrid w:val="0"/>
              <w:spacing w:before="0" w:beforeAutospacing="0" w:after="0" w:afterAutospacing="0" w:line="300" w:lineRule="auto"/>
              <w:ind w:left="0" w:right="0"/>
              <w:jc w:val="left"/>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3.需根据采购方的业务需要，参与培训上岗，协助采购方建立起运营力量；非会期需按照采购方的服务标准进行工作。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仿宋_GB2312" w:hAnsi="仿宋_GB2312" w:eastAsia="仿宋_GB2312" w:cs="仿宋_GB2312"/>
                <w:color w:val="auto"/>
                <w:sz w:val="24"/>
                <w:highlight w:val="none"/>
                <w:lang w:bidi="ar"/>
              </w:rPr>
              <w:t>3</w:t>
            </w:r>
          </w:p>
        </w:tc>
        <w:tc>
          <w:tcPr>
            <w:tcW w:w="486"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仿宋_GB2312" w:hAnsi="仿宋_GB2312" w:eastAsia="仿宋_GB2312" w:cs="仿宋_GB2312"/>
                <w:color w:val="auto"/>
                <w:sz w:val="24"/>
                <w:highlight w:val="none"/>
                <w:lang w:bidi="ar"/>
              </w:rPr>
              <w:t>高级客服服务</w:t>
            </w:r>
          </w:p>
        </w:tc>
        <w:tc>
          <w:tcPr>
            <w:tcW w:w="579"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项</w:t>
            </w:r>
          </w:p>
        </w:tc>
        <w:tc>
          <w:tcPr>
            <w:tcW w:w="6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★一、高级客服1人，服务期限1个月。</w:t>
            </w:r>
          </w:p>
          <w:p>
            <w:pPr>
              <w:keepNext w:val="0"/>
              <w:keepLines w:val="0"/>
              <w:widowControl/>
              <w:suppressLineNumbers w:val="0"/>
              <w:snapToGrid w:val="0"/>
              <w:spacing w:before="0" w:beforeAutospacing="0" w:after="0" w:afterAutospacing="0" w:line="300" w:lineRule="auto"/>
              <w:ind w:left="0" w:right="0"/>
              <w:jc w:val="left"/>
              <w:rPr>
                <w:rFonts w:hint="default" w:ascii="Times New Roman" w:hAnsi="Times New Roman" w:cs="Times New Roman"/>
                <w:color w:val="auto"/>
                <w:highlight w:val="none"/>
              </w:rPr>
            </w:pPr>
            <w:r>
              <w:rPr>
                <w:rFonts w:hint="eastAsia" w:ascii="仿宋_GB2312" w:hAnsi="仿宋_GB2312" w:eastAsia="仿宋_GB2312" w:cs="仿宋_GB2312"/>
                <w:bCs/>
                <w:color w:val="auto"/>
                <w:sz w:val="24"/>
                <w:highlight w:val="none"/>
              </w:rPr>
              <w:t>★二、要求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1.高级客服人员需熟悉客服系统，具有丰富的客服管理和运营经验。</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协助采购人建立客服中心制度，包括但不限于聘管理制度、培训管理制度、员工管理制度、薪酬管理制度、员工手册、考核管理制度、考勤管理制度、奖惩管理制度、办公室行政规范管理制度、保密制度等。了解客服处理范围，协助采购人梳理并建立业务流程，包括但不限于一般工作流程、业务回复流程、疑难业务处理流程、投诉处理流程等。形成相关文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3.协助采购人熟悉知识点，整理建立知识库，形成相关文档。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4.协助采购人建立应答话术、疑难问题话术等内容，并形成文档及知识库。</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5.协助采购人建立客服人员培训管理体系，包括业务知识培训、业务流程培训、培训考核要求等。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6.培训采购人，包括呼叫系统操作，了解平台客服处理范围，围绕平台业务梳理及制定客服工作流程、应答参考话术等内容，提高客服工作效率、减低跨部门协调的时间成本，制定基础客服培训计划及实施周期。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4</w:t>
            </w:r>
          </w:p>
        </w:tc>
        <w:tc>
          <w:tcPr>
            <w:tcW w:w="486"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中继线路服务</w:t>
            </w:r>
          </w:p>
        </w:tc>
        <w:tc>
          <w:tcPr>
            <w:tcW w:w="579"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w:t>
            </w:r>
          </w:p>
        </w:tc>
        <w:tc>
          <w:tcPr>
            <w:tcW w:w="6096" w:type="dxa"/>
            <w:tcBorders>
              <w:top w:val="single" w:color="auto" w:sz="4" w:space="0"/>
              <w:left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一、提供语音中继服务：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★1、提供一条2M语音中继，支持30路坐席话务并发；线路要求采用基于硬管道的sdh/mstp技术接入；</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★2、根据采购方的业务需求可接入除了东博会热线号码以外的其他号码；</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二、免费提供语音接听服务；</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三、提供语音拨打服务，按实际产生费用结算；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四、提供短信服务，按实际产生费用结算，三网融达。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951" w:type="dxa"/>
            <w:gridSpan w:val="5"/>
            <w:tcBorders>
              <w:left w:val="single" w:color="auto" w:sz="4" w:space="0"/>
              <w:right w:val="single" w:color="auto" w:sz="4" w:space="0"/>
            </w:tcBorders>
            <w:noWrap w:val="0"/>
            <w:vAlign w:val="center"/>
          </w:tcPr>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商务要求（不满足商务要求的竞标无效）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服务期限及地点</w:t>
            </w:r>
          </w:p>
        </w:tc>
        <w:tc>
          <w:tcPr>
            <w:tcW w:w="7674"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一、合同签订期：自中标通知书发出之日起10个工作日内。</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二、服务期限：服务期限为自合同签订之日起壹年。</w:t>
            </w:r>
          </w:p>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三、服务地点：采购方指定地点。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付款方式</w:t>
            </w:r>
          </w:p>
        </w:tc>
        <w:tc>
          <w:tcPr>
            <w:tcW w:w="7674" w:type="dxa"/>
            <w:gridSpan w:val="4"/>
            <w:tcBorders>
              <w:left w:val="single" w:color="auto" w:sz="4" w:space="0"/>
              <w:right w:val="single" w:color="auto" w:sz="4" w:space="0"/>
            </w:tcBorders>
            <w:noWrap w:val="0"/>
            <w:vAlign w:val="center"/>
          </w:tcPr>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付款方式：采购方按合同约定支付合同款。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保密要求</w:t>
            </w:r>
          </w:p>
        </w:tc>
        <w:tc>
          <w:tcPr>
            <w:tcW w:w="7674" w:type="dxa"/>
            <w:gridSpan w:val="4"/>
            <w:tcBorders>
              <w:left w:val="single" w:color="auto" w:sz="4" w:space="0"/>
              <w:right w:val="single" w:color="auto" w:sz="4" w:space="0"/>
            </w:tcBorders>
            <w:noWrap w:val="0"/>
            <w:vAlign w:val="center"/>
          </w:tcPr>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供应商应对采购方提供的所有资料（文字、图纸、电子数据）等商业机密保密，不得向第三方泄露任何关于项目采购方提供的资料及项目情况。如发生以上情况并给采购方造成损失的，采购方保留依据法律向供应商索赔的权利，供应商应承担相关的法律责任及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277"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其他要求</w:t>
            </w:r>
          </w:p>
        </w:tc>
        <w:tc>
          <w:tcPr>
            <w:tcW w:w="7674"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一、本项目为服务成果整体交付应用项目，按服务总价包干，采购方不对项目达到成果水平报的服务、货物、施工等一切内容追加支付费用，而由中标供应商在合同价内全部提供或解决。</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包括：</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（1）服务的价格；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（2）相关标准附件、备品备件、专用工具的价格；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（3）运输、装卸、调试、培训、技术支持、现场服务等费用；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（4）必要的保险费用和各项税费；</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（5）包括安装费用；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（6）验收的费用。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二、协助采购方建立相应的客服热线管理制度及执行管理办法。</w:t>
            </w:r>
          </w:p>
          <w:p>
            <w:pPr>
              <w:pStyle w:val="2"/>
              <w:keepNext w:val="0"/>
              <w:keepLines w:val="0"/>
              <w:suppressLineNumbers w:val="0"/>
              <w:spacing w:before="0" w:beforeAutospacing="0" w:afterAutospacing="0"/>
              <w:ind w:left="0" w:right="0"/>
              <w:rPr>
                <w:rFonts w:hint="default" w:ascii="Times New Roman" w:hAnsi="Times New Roman" w:eastAsia="仿宋_GB2312" w:cs="Times New Roman"/>
                <w:color w:val="auto"/>
                <w:highlight w:val="none"/>
              </w:rPr>
            </w:pPr>
            <w:r>
              <w:rPr>
                <w:rFonts w:hint="default" w:ascii="微软雅黑" w:hAnsi="微软雅黑" w:eastAsia="微软雅黑" w:cs="微软雅黑"/>
                <w:color w:val="auto"/>
                <w:sz w:val="27"/>
                <w:szCs w:val="27"/>
                <w:highlight w:val="none"/>
              </w:rPr>
              <w:t>★</w:t>
            </w:r>
            <w:r>
              <w:rPr>
                <w:rFonts w:hint="eastAsia" w:ascii="仿宋_GB2312" w:hAnsi="仿宋_GB2312" w:eastAsia="仿宋_GB2312" w:cs="仿宋_GB2312"/>
                <w:bCs/>
                <w:color w:val="auto"/>
                <w:sz w:val="24"/>
                <w:highlight w:val="none"/>
              </w:rPr>
              <w:t>三、在本项目合同到期时，中标方应保持呼叫系统及线路号码不低于3个月畅通状态，以便有足够时间完成下一阶段合同手续。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四、提供不少于3场客服业务培训。</w:t>
            </w:r>
          </w:p>
          <w:p>
            <w:pPr>
              <w:pStyle w:val="2"/>
              <w:keepNext w:val="0"/>
              <w:keepLines w:val="0"/>
              <w:suppressLineNumbers w:val="0"/>
              <w:spacing w:before="0" w:beforeAutospacing="0" w:afterAutospacing="0"/>
              <w:ind w:left="0" w:right="0"/>
              <w:rPr>
                <w:rFonts w:hint="default" w:ascii="Times New Roman" w:hAnsi="Times New Roman" w:eastAsia="仿宋_GB2312" w:cs="Times New Roman"/>
                <w:color w:val="auto"/>
                <w:highlight w:val="none"/>
              </w:rPr>
            </w:pPr>
            <w:r>
              <w:rPr>
                <w:rFonts w:hint="eastAsia" w:ascii="仿宋_GB2312" w:hAnsi="仿宋_GB2312" w:eastAsia="仿宋_GB2312" w:cs="仿宋_GB2312"/>
                <w:bCs/>
                <w:color w:val="auto"/>
                <w:sz w:val="24"/>
                <w:highlight w:val="none"/>
              </w:rPr>
              <w:t>五、系统出现故障及其他问题时，中标方响应时间不低于1个小时，并解决问题，到达现场响应时间不低于2个小时，并解决问题，重大故障不低于24小时解决。</w:t>
            </w:r>
          </w:p>
          <w:p>
            <w:pPr>
              <w:pStyle w:val="2"/>
              <w:keepNext w:val="0"/>
              <w:keepLines w:val="0"/>
              <w:suppressLineNumbers w:val="0"/>
              <w:snapToGrid w:val="0"/>
              <w:spacing w:before="0" w:beforeAutospacing="0" w:afterAutospacing="0" w:line="300" w:lineRule="auto"/>
              <w:ind w:left="0" w:right="0"/>
              <w:rPr>
                <w:rFonts w:hint="eastAsia" w:ascii="仿宋_GB2312" w:hAnsi="仿宋_GB2312" w:cs="仿宋_GB2312"/>
                <w:bCs/>
                <w:color w:val="auto"/>
                <w:sz w:val="24"/>
                <w:highlight w:val="none"/>
              </w:rPr>
            </w:pPr>
            <w:r>
              <w:rPr>
                <w:rFonts w:hint="eastAsia" w:ascii="仿宋_GB2312" w:hAnsi="仿宋_GB2312" w:eastAsia="仿宋_GB2312" w:cs="仿宋_GB2312"/>
                <w:bCs/>
                <w:color w:val="auto"/>
                <w:sz w:val="24"/>
                <w:highlight w:val="none"/>
              </w:rPr>
              <w:t>六、投标人要对新冠肺炎疫情影响的相关因素予以充分考虑，必须考虑不可预见、不可抗力、新冠病毒疫情的情况导致项目取消的风险，因新冠病毒疫情导致项目取消，前期所投入项目的服务成本由投标人自行承担。</w:t>
            </w:r>
          </w:p>
        </w:tc>
      </w:tr>
    </w:tbl>
    <w:p>
      <w:pPr>
        <w:rPr>
          <w:rFonts w:hint="eastAsia" w:eastAsia="华文中宋"/>
          <w:color w:val="auto"/>
          <w:sz w:val="32"/>
          <w:szCs w:val="32"/>
          <w:highlight w:val="none"/>
        </w:rPr>
      </w:pPr>
    </w:p>
    <w:p>
      <w:pPr>
        <w:tabs>
          <w:tab w:val="left" w:pos="632"/>
        </w:tabs>
        <w:jc w:val="center"/>
        <w:outlineLvl w:val="0"/>
        <w:rPr>
          <w:rFonts w:hint="eastAsia" w:eastAsia="华文中宋"/>
          <w:color w:val="auto"/>
          <w:sz w:val="32"/>
          <w:szCs w:val="32"/>
          <w:highlight w:val="none"/>
        </w:rPr>
      </w:pPr>
      <w:r>
        <w:rPr>
          <w:rFonts w:hint="eastAsia"/>
          <w:color w:val="auto"/>
          <w:highlight w:val="none"/>
        </w:rPr>
        <w:br w:type="page"/>
      </w:r>
      <w:r>
        <w:rPr>
          <w:rFonts w:hint="eastAsia" w:eastAsia="华文中宋"/>
          <w:color w:val="auto"/>
          <w:sz w:val="32"/>
          <w:szCs w:val="32"/>
          <w:highlight w:val="none"/>
        </w:rPr>
        <w:t>第</w:t>
      </w:r>
      <w:r>
        <w:rPr>
          <w:rFonts w:eastAsia="华文中宋"/>
          <w:color w:val="auto"/>
          <w:sz w:val="32"/>
          <w:szCs w:val="32"/>
          <w:highlight w:val="none"/>
        </w:rPr>
        <w:t>三</w:t>
      </w:r>
      <w:r>
        <w:rPr>
          <w:rFonts w:hint="eastAsia" w:eastAsia="华文中宋"/>
          <w:color w:val="auto"/>
          <w:sz w:val="32"/>
          <w:szCs w:val="32"/>
          <w:highlight w:val="none"/>
        </w:rPr>
        <w:t>章</w:t>
      </w:r>
      <w:r>
        <w:rPr>
          <w:rFonts w:eastAsia="华文中宋"/>
          <w:color w:val="auto"/>
          <w:sz w:val="32"/>
          <w:szCs w:val="32"/>
          <w:highlight w:val="none"/>
        </w:rPr>
        <w:t xml:space="preserve">  供应商</w:t>
      </w:r>
      <w:r>
        <w:rPr>
          <w:rFonts w:hint="eastAsia" w:eastAsia="华文中宋"/>
          <w:color w:val="auto"/>
          <w:sz w:val="32"/>
          <w:szCs w:val="32"/>
          <w:highlight w:val="none"/>
        </w:rPr>
        <w:t>须知</w:t>
      </w:r>
      <w:bookmarkEnd w:id="4"/>
    </w:p>
    <w:p>
      <w:pPr>
        <w:pStyle w:val="31"/>
        <w:rPr>
          <w:color w:val="auto"/>
          <w:highlight w:val="none"/>
        </w:rPr>
      </w:pPr>
    </w:p>
    <w:p>
      <w:pPr>
        <w:tabs>
          <w:tab w:val="left" w:pos="632"/>
        </w:tabs>
        <w:jc w:val="center"/>
        <w:outlineLvl w:val="1"/>
        <w:rPr>
          <w:rFonts w:hint="eastAsia" w:eastAsia="华文中宋"/>
          <w:color w:val="auto"/>
          <w:sz w:val="28"/>
          <w:szCs w:val="28"/>
          <w:highlight w:val="none"/>
        </w:rPr>
      </w:pPr>
      <w:bookmarkStart w:id="5" w:name="_Toc6856"/>
      <w:r>
        <w:rPr>
          <w:rFonts w:eastAsia="华文中宋"/>
          <w:color w:val="auto"/>
          <w:sz w:val="28"/>
          <w:szCs w:val="28"/>
          <w:highlight w:val="none"/>
        </w:rPr>
        <w:t>供应商</w:t>
      </w:r>
      <w:r>
        <w:rPr>
          <w:rFonts w:hint="eastAsia" w:eastAsia="华文中宋"/>
          <w:color w:val="auto"/>
          <w:sz w:val="28"/>
          <w:szCs w:val="28"/>
          <w:highlight w:val="none"/>
        </w:rPr>
        <w:t>须知前附表</w:t>
      </w:r>
      <w:bookmarkEnd w:id="5"/>
    </w:p>
    <w:p>
      <w:pPr>
        <w:pStyle w:val="31"/>
        <w:rPr>
          <w:color w:val="auto"/>
          <w:highlight w:val="none"/>
        </w:rPr>
      </w:pPr>
    </w:p>
    <w:p>
      <w:pPr>
        <w:tabs>
          <w:tab w:val="left" w:pos="632"/>
          <w:tab w:val="left" w:pos="790"/>
          <w:tab w:val="left" w:pos="1580"/>
        </w:tabs>
        <w:spacing w:before="78" w:beforeLines="25" w:after="78" w:afterLines="25" w:line="440" w:lineRule="exact"/>
        <w:ind w:right="-105" w:rightChars="-50"/>
        <w:jc w:val="center"/>
        <w:rPr>
          <w:rFonts w:hint="eastAsia" w:eastAsia="仿宋_GB2312"/>
          <w:color w:val="auto"/>
          <w:sz w:val="24"/>
          <w:highlight w:val="none"/>
        </w:rPr>
      </w:pPr>
      <w:r>
        <w:rPr>
          <w:rFonts w:hint="eastAsia"/>
          <w:b/>
          <w:bCs/>
          <w:color w:val="auto"/>
          <w:sz w:val="24"/>
          <w:highlight w:val="none"/>
        </w:rPr>
        <w:t>注：</w:t>
      </w:r>
      <w:r>
        <w:rPr>
          <w:rFonts w:hint="eastAsia" w:eastAsia="仿宋_GB2312"/>
          <w:color w:val="auto"/>
          <w:sz w:val="24"/>
          <w:highlight w:val="none"/>
        </w:rPr>
        <w:t>本磋商文件请磋商供应商认真阅读，任何遗漏或疏忽都有可能导致无效标书或废标。</w:t>
      </w:r>
    </w:p>
    <w:p>
      <w:pPr>
        <w:pStyle w:val="31"/>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noWrap w:val="0"/>
            <w:vAlign w:val="center"/>
          </w:tcPr>
          <w:p>
            <w:pPr>
              <w:keepNext w:val="0"/>
              <w:keepLines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项号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953" w:type="dxa"/>
            <w:noWrap w:val="0"/>
            <w:vAlign w:val="center"/>
          </w:tcPr>
          <w:p>
            <w:pPr>
              <w:keepNext w:val="0"/>
              <w:keepLines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内容</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46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说</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明</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与</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要</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Times New Roman" w:cs="Times New Roman"/>
                <w:b/>
                <w:bCs/>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项目名称</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i/>
                <w:iCs/>
                <w:color w:val="auto"/>
                <w:sz w:val="24"/>
                <w:highlight w:val="none"/>
              </w:rPr>
            </w:pPr>
            <w:r>
              <w:rPr>
                <w:rFonts w:hint="eastAsia" w:ascii="仿宋_GB2312" w:hAnsi="仿宋_GB2312" w:eastAsia="仿宋_GB2312" w:cs="仿宋_GB2312"/>
                <w:bCs/>
                <w:color w:val="auto"/>
                <w:sz w:val="24"/>
                <w:highlight w:val="none"/>
              </w:rPr>
              <w:t>呼叫中心系统采购服务项目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Times New Roman" w:cs="Times New Roman"/>
                <w:b/>
                <w:bCs/>
                <w:color w:val="auto"/>
                <w:sz w:val="24"/>
                <w:highlight w:val="none"/>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服务地点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仿宋_GB2312" w:hAnsi="仿宋_GB2312" w:eastAsia="仿宋_GB2312" w:cs="仿宋_GB2312"/>
                <w:bCs/>
                <w:color w:val="auto"/>
                <w:sz w:val="24"/>
                <w:highlight w:val="none"/>
              </w:rPr>
              <w:t>采购方指定地点。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24"/>
                <w:highlight w:val="none"/>
              </w:rPr>
              <w:t>服务</w:t>
            </w:r>
            <w:r>
              <w:rPr>
                <w:rFonts w:hint="eastAsia" w:ascii="Times New Roman" w:hAnsi="Times New Roman" w:eastAsia="仿宋_GB2312" w:cs="Times New Roman"/>
                <w:b/>
                <w:bCs/>
                <w:color w:val="auto"/>
                <w:sz w:val="24"/>
                <w:highlight w:val="none"/>
              </w:rPr>
              <w:t>期限</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仿宋_GB2312" w:hAnsi="仿宋_GB2312" w:eastAsia="仿宋_GB2312" w:cs="仿宋_GB2312"/>
                <w:bCs/>
                <w:color w:val="auto"/>
                <w:sz w:val="24"/>
                <w:highlight w:val="none"/>
              </w:rPr>
              <w:t>服务期限为自合同签订之日起壹年。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服务现场</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自行踏勘</w:t>
            </w:r>
            <w:r>
              <w:rPr>
                <w:rFonts w:hint="default" w:ascii="Times New Roman" w:hAnsi="Times New Roman" w:eastAsia="仿宋_GB2312" w:cs="Times New Roman"/>
                <w:color w:val="auto"/>
                <w:sz w:val="24"/>
                <w:highlight w:val="none"/>
              </w:rPr>
              <w:t>服务</w:t>
            </w:r>
            <w:r>
              <w:rPr>
                <w:rFonts w:hint="eastAsia" w:ascii="Times New Roman" w:hAnsi="Times New Roman" w:eastAsia="仿宋_GB2312" w:cs="Times New Roman"/>
                <w:color w:val="auto"/>
                <w:sz w:val="24"/>
                <w:highlight w:val="none"/>
              </w:rPr>
              <w:t>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5</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方案</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投标文件中提供技术方案、实施方案、</w:t>
            </w:r>
            <w:r>
              <w:rPr>
                <w:rFonts w:hint="eastAsia" w:ascii="Times New Roman" w:hAnsi="Times New Roman" w:eastAsia="仿宋_GB2312" w:cs="Times New Roman"/>
                <w:color w:val="auto"/>
                <w:sz w:val="24"/>
                <w:highlight w:val="none"/>
                <w:lang w:eastAsia="zh-CN"/>
              </w:rPr>
              <w:t>售后服务方案</w:t>
            </w:r>
            <w:r>
              <w:rPr>
                <w:rFonts w:hint="eastAsia" w:ascii="Times New Roman" w:hAnsi="Times New Roman" w:eastAsia="仿宋_GB2312" w:cs="Times New Roman"/>
                <w:color w:val="auto"/>
                <w:sz w:val="24"/>
                <w:highlight w:val="none"/>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6</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w:t>
            </w:r>
            <w:r>
              <w:rPr>
                <w:rFonts w:hint="default" w:ascii="Times New Roman" w:hAnsi="Times New Roman" w:eastAsia="仿宋_GB2312" w:cs="Times New Roman"/>
                <w:b/>
                <w:bCs/>
                <w:color w:val="auto"/>
                <w:sz w:val="24"/>
                <w:highlight w:val="none"/>
              </w:rPr>
              <w:t>供应商</w:t>
            </w:r>
            <w:r>
              <w:rPr>
                <w:rFonts w:hint="eastAsia" w:ascii="Times New Roman" w:hAnsi="Times New Roman" w:eastAsia="仿宋_GB2312" w:cs="Times New Roman"/>
                <w:b/>
                <w:bCs/>
                <w:color w:val="auto"/>
                <w:sz w:val="24"/>
                <w:highlight w:val="none"/>
              </w:rPr>
              <w:t>资格</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1、国内注册（指按国家有关规定要求注册的），提供本次竞争性磋商采购服务，具备法人资格的供应商或其下属分支机构；</w:t>
            </w:r>
          </w:p>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2、诚实守信，近三年内无违法及不良诚信记录；</w:t>
            </w:r>
          </w:p>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3、对在“信用中国”网站(www.creditchina.gov.cn)、中国政府采购网(www.ccgp.gov.cn)等渠道列入失信被执行人、重大税收违法案件当事人名单、政府采购严重违法失信行为记录名单的供应商，不得参与本次招标采购活动；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suppressLineNumbers w:val="0"/>
              <w:spacing w:before="0" w:beforeAutospacing="0" w:after="0" w:afterAutospacing="0" w:line="288"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4、单位负责人为同一人或者存在直接控股、管理关系的不同投标人，不得参加同一合同项下的政府采购活动。</w:t>
            </w:r>
          </w:p>
          <w:p>
            <w:pPr>
              <w:keepNext w:val="0"/>
              <w:keepLines w:val="0"/>
              <w:suppressLineNumbers w:val="0"/>
              <w:spacing w:before="0" w:beforeAutospacing="0" w:after="0" w:afterAutospacing="0" w:line="288"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7</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结算方式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根据项目实际据实结算。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8</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项目预算</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31.5万元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9</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报价方式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10</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磋商响应文件</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商务文件和资格证明文件合并装订，正本1份，副本2份；技术文件单独装订，正本1份，副本2份；</w:t>
            </w:r>
          </w:p>
          <w:p>
            <w:pPr>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eastAsia="仿宋_GB2312" w:cs="Times New Roman"/>
                <w:caps/>
                <w:color w:val="auto"/>
                <w:sz w:val="24"/>
                <w:highlight w:val="none"/>
              </w:rPr>
              <w:t>响应文件密封方式：响应文件盖章，纸质版装入响应文件袋（箱）中密封投递。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auto"/>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磋商有效期</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从磋商响应文件提交截止之日起5日历天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12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cs="Times New Roman"/>
                <w:b/>
                <w:bCs/>
                <w:color w:val="auto"/>
                <w:sz w:val="24"/>
                <w:highlight w:val="none"/>
              </w:rPr>
            </w:pPr>
            <w:r>
              <w:rPr>
                <w:rFonts w:hint="eastAsia" w:ascii="Times New Roman" w:hAnsi="Times New Roman" w:eastAsia="仿宋_GB2312" w:cs="Times New Roman"/>
                <w:b/>
                <w:bCs/>
                <w:color w:val="auto"/>
                <w:sz w:val="24"/>
                <w:highlight w:val="none"/>
              </w:rPr>
              <w:t>磋商响应文件</w:t>
            </w:r>
          </w:p>
          <w:p>
            <w:pPr>
              <w:pStyle w:val="31"/>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highlight w:val="none"/>
              </w:rPr>
            </w:pPr>
            <w:r>
              <w:rPr>
                <w:rFonts w:hint="eastAsia" w:ascii="Times New Roman" w:hAnsi="Times New Roman" w:eastAsia="仿宋_GB2312" w:cs="Times New Roman"/>
                <w:b/>
                <w:bCs/>
                <w:color w:val="auto"/>
                <w:sz w:val="24"/>
                <w:highlight w:val="none"/>
              </w:rPr>
              <w:t>提交地点、时间</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地点：广西南博国际信息有限公司</w:t>
            </w:r>
          </w:p>
          <w:p>
            <w:pPr>
              <w:keepNext w:val="0"/>
              <w:keepLines w:val="0"/>
              <w:suppressLineNumbers w:val="0"/>
              <w:spacing w:before="0" w:beforeAutospacing="0" w:after="0" w:afterAutospacing="0" w:line="360" w:lineRule="auto"/>
              <w:ind w:left="0" w:right="0"/>
              <w:rPr>
                <w:rFonts w:hint="eastAsia" w:ascii="Times New Roman" w:hAnsi="Times New Roman" w:cs="Times New Roman"/>
                <w:color w:val="auto"/>
                <w:highlight w:val="none"/>
              </w:rPr>
            </w:pPr>
            <w:r>
              <w:rPr>
                <w:rFonts w:hint="eastAsia" w:ascii="Times New Roman" w:hAnsi="Times New Roman" w:eastAsia="仿宋_GB2312" w:cs="Times New Roman"/>
                <w:color w:val="auto"/>
                <w:sz w:val="24"/>
                <w:highlight w:val="none"/>
              </w:rPr>
              <w:t>广西南宁市民族大道106号南宁国际会展中心行政综合楼北302室</w:t>
            </w:r>
          </w:p>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截止时间:2021年</w:t>
            </w:r>
            <w:r>
              <w:rPr>
                <w:rFonts w:hint="default" w:ascii="Times New Roman" w:hAnsi="Times New Roman" w:eastAsia="仿宋_GB2312" w:cs="Times New Roman"/>
                <w:color w:val="auto"/>
                <w:sz w:val="24"/>
                <w:highlight w:val="none"/>
              </w:rPr>
              <w:t>12月22日11:30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cs="Times New Roman"/>
                <w:b/>
                <w:bCs/>
                <w:color w:val="auto"/>
                <w:sz w:val="24"/>
                <w:highlight w:val="none"/>
              </w:rPr>
            </w:pPr>
            <w:r>
              <w:rPr>
                <w:rFonts w:hint="eastAsia" w:ascii="Times New Roman" w:hAnsi="Times New Roman" w:eastAsia="仿宋_GB2312" w:cs="Times New Roman"/>
                <w:b/>
                <w:bCs/>
                <w:color w:val="auto"/>
                <w:sz w:val="24"/>
                <w:highlight w:val="none"/>
              </w:rPr>
              <w:t>响应文件开启时间、磋商时间及地点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tabs>
                <w:tab w:val="left" w:pos="632"/>
              </w:tabs>
              <w:spacing w:before="0" w:beforeAutospacing="0" w:after="0" w:afterAutospacing="0" w:line="560" w:lineRule="exact"/>
              <w:ind w:left="0" w:right="0"/>
              <w:jc w:val="left"/>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详见第一章竞争性磋商公告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cs="Times New Roman"/>
                <w:b/>
                <w:bCs/>
                <w:color w:val="auto"/>
                <w:sz w:val="24"/>
                <w:highlight w:val="none"/>
              </w:rPr>
              <w:t>14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评标方法</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综合评分办法</w:t>
            </w:r>
          </w:p>
        </w:tc>
      </w:tr>
    </w:tbl>
    <w:p>
      <w:pPr>
        <w:spacing w:line="600" w:lineRule="exact"/>
        <w:ind w:firstLine="560" w:firstLineChars="200"/>
        <w:jc w:val="center"/>
        <w:outlineLvl w:val="1"/>
        <w:rPr>
          <w:rFonts w:hint="eastAsia" w:eastAsia="华文中宋"/>
          <w:color w:val="auto"/>
          <w:sz w:val="32"/>
          <w:szCs w:val="32"/>
          <w:highlight w:val="none"/>
        </w:rPr>
      </w:pPr>
      <w:r>
        <w:rPr>
          <w:rFonts w:eastAsia="黑体"/>
          <w:bCs/>
          <w:color w:val="auto"/>
          <w:sz w:val="28"/>
          <w:szCs w:val="28"/>
          <w:highlight w:val="none"/>
        </w:rPr>
        <w:br w:type="page"/>
      </w:r>
      <w:r>
        <w:rPr>
          <w:rFonts w:eastAsia="黑体"/>
          <w:bCs/>
          <w:color w:val="auto"/>
          <w:sz w:val="28"/>
          <w:szCs w:val="28"/>
          <w:highlight w:val="none"/>
        </w:rPr>
        <w:t xml:space="preserve"> </w:t>
      </w:r>
      <w:bookmarkStart w:id="6" w:name="_Toc30924"/>
      <w:r>
        <w:rPr>
          <w:rFonts w:eastAsia="华文中宋"/>
          <w:color w:val="auto"/>
          <w:sz w:val="32"/>
          <w:szCs w:val="32"/>
          <w:highlight w:val="none"/>
        </w:rPr>
        <w:t>供应商</w:t>
      </w:r>
      <w:r>
        <w:rPr>
          <w:rFonts w:hint="eastAsia" w:eastAsia="华文中宋"/>
          <w:color w:val="auto"/>
          <w:sz w:val="32"/>
          <w:szCs w:val="32"/>
          <w:highlight w:val="none"/>
        </w:rPr>
        <w:t>须知</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一、总则</w:t>
      </w:r>
      <w:bookmarkEnd w:id="6"/>
    </w:p>
    <w:p>
      <w:pPr>
        <w:adjustRightInd w:val="0"/>
        <w:snapToGrid w:val="0"/>
        <w:spacing w:line="600" w:lineRule="exact"/>
        <w:ind w:right="17" w:firstLine="562" w:firstLineChars="200"/>
        <w:rPr>
          <w:rFonts w:hint="eastAsia" w:eastAsia="仿宋_GB2312"/>
          <w:b/>
          <w:bCs/>
          <w:color w:val="auto"/>
          <w:sz w:val="28"/>
          <w:szCs w:val="28"/>
          <w:highlight w:val="none"/>
        </w:rPr>
      </w:pPr>
      <w:r>
        <w:rPr>
          <w:rFonts w:eastAsia="仿宋_GB2312"/>
          <w:b/>
          <w:bCs/>
          <w:color w:val="auto"/>
          <w:sz w:val="28"/>
          <w:szCs w:val="28"/>
          <w:highlight w:val="none"/>
        </w:rPr>
        <w:t>1.</w:t>
      </w:r>
      <w:r>
        <w:rPr>
          <w:rFonts w:hint="eastAsia" w:eastAsia="仿宋_GB2312"/>
          <w:b/>
          <w:bCs/>
          <w:color w:val="auto"/>
          <w:sz w:val="28"/>
          <w:szCs w:val="28"/>
          <w:highlight w:val="none"/>
        </w:rPr>
        <w:t>项目说明</w:t>
      </w:r>
    </w:p>
    <w:p>
      <w:pPr>
        <w:snapToGrid w:val="0"/>
        <w:spacing w:line="600" w:lineRule="exact"/>
        <w:ind w:firstLine="560" w:firstLineChars="200"/>
        <w:jc w:val="left"/>
        <w:rPr>
          <w:rFonts w:eastAsia="仿宋_GB2312"/>
          <w:color w:val="auto"/>
          <w:highlight w:val="none"/>
        </w:rPr>
      </w:pPr>
      <w:r>
        <w:rPr>
          <w:rFonts w:eastAsia="仿宋_GB2312"/>
          <w:color w:val="auto"/>
          <w:sz w:val="28"/>
          <w:szCs w:val="28"/>
          <w:highlight w:val="none"/>
        </w:rPr>
        <w:t>1</w:t>
      </w:r>
      <w:r>
        <w:rPr>
          <w:rFonts w:eastAsia="仿宋_GB2312"/>
          <w:color w:val="auto"/>
          <w:kern w:val="0"/>
          <w:sz w:val="28"/>
          <w:szCs w:val="28"/>
          <w:highlight w:val="none"/>
        </w:rPr>
        <w:t>.l项目</w:t>
      </w:r>
      <w:r>
        <w:rPr>
          <w:rFonts w:hint="eastAsia" w:eastAsia="仿宋_GB2312"/>
          <w:color w:val="auto"/>
          <w:kern w:val="0"/>
          <w:sz w:val="28"/>
          <w:szCs w:val="28"/>
          <w:highlight w:val="none"/>
        </w:rPr>
        <w:t>名称：</w:t>
      </w:r>
      <w:r>
        <w:rPr>
          <w:rFonts w:hint="eastAsia" w:ascii="仿宋_GB2312" w:hAnsi="仿宋_GB2312" w:eastAsia="仿宋_GB2312" w:cs="仿宋_GB2312"/>
          <w:bCs/>
          <w:color w:val="auto"/>
          <w:sz w:val="28"/>
          <w:szCs w:val="28"/>
          <w:highlight w:val="none"/>
        </w:rPr>
        <w:t>呼叫中心系统采购服务项目</w:t>
      </w:r>
    </w:p>
    <w:p>
      <w:pPr>
        <w:snapToGrid w:val="0"/>
        <w:spacing w:line="600" w:lineRule="exact"/>
        <w:ind w:firstLine="560" w:firstLineChars="200"/>
        <w:jc w:val="left"/>
        <w:rPr>
          <w:rFonts w:hint="eastAsia"/>
          <w:color w:val="auto"/>
          <w:highlight w:val="none"/>
        </w:rPr>
      </w:pPr>
      <w:r>
        <w:rPr>
          <w:rFonts w:eastAsia="仿宋_GB2312"/>
          <w:color w:val="auto"/>
          <w:kern w:val="0"/>
          <w:sz w:val="28"/>
          <w:szCs w:val="28"/>
          <w:highlight w:val="none"/>
        </w:rPr>
        <w:t>1.2</w:t>
      </w:r>
      <w:r>
        <w:rPr>
          <w:rFonts w:hint="eastAsia" w:eastAsia="仿宋_GB2312"/>
          <w:color w:val="auto"/>
          <w:kern w:val="0"/>
          <w:sz w:val="28"/>
          <w:szCs w:val="28"/>
          <w:highlight w:val="none"/>
        </w:rPr>
        <w:t>服务地点：</w:t>
      </w:r>
      <w:r>
        <w:rPr>
          <w:rFonts w:hint="eastAsia" w:eastAsia="仿宋_GB2312"/>
          <w:color w:val="auto"/>
          <w:sz w:val="28"/>
          <w:szCs w:val="28"/>
          <w:highlight w:val="none"/>
        </w:rPr>
        <w:t>采购方指定地点</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1.3</w:t>
      </w:r>
      <w:r>
        <w:rPr>
          <w:rFonts w:hint="eastAsia" w:eastAsia="仿宋_GB2312"/>
          <w:color w:val="auto"/>
          <w:kern w:val="0"/>
          <w:sz w:val="28"/>
          <w:szCs w:val="28"/>
          <w:highlight w:val="none"/>
        </w:rPr>
        <w:t>采购方式：</w:t>
      </w:r>
      <w:r>
        <w:rPr>
          <w:rFonts w:hint="eastAsia" w:eastAsia="仿宋_GB2312"/>
          <w:color w:val="auto"/>
          <w:sz w:val="28"/>
          <w:szCs w:val="28"/>
          <w:highlight w:val="none"/>
        </w:rPr>
        <w:t>根据项目实际据实结算</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1.4</w:t>
      </w:r>
      <w:r>
        <w:rPr>
          <w:rFonts w:hint="eastAsia" w:eastAsia="仿宋_GB2312"/>
          <w:color w:val="auto"/>
          <w:kern w:val="0"/>
          <w:sz w:val="28"/>
          <w:szCs w:val="28"/>
          <w:highlight w:val="none"/>
        </w:rPr>
        <w:t>质量标准：合格</w:t>
      </w:r>
    </w:p>
    <w:p>
      <w:pPr>
        <w:snapToGrid w:val="0"/>
        <w:spacing w:line="600" w:lineRule="exact"/>
        <w:ind w:firstLine="560" w:firstLineChars="200"/>
        <w:outlineLvl w:val="1"/>
        <w:rPr>
          <w:color w:val="auto"/>
          <w:highlight w:val="none"/>
        </w:rPr>
      </w:pPr>
      <w:bookmarkStart w:id="7" w:name="_Toc13476"/>
      <w:r>
        <w:rPr>
          <w:rFonts w:hint="eastAsia" w:eastAsia="黑体"/>
          <w:bCs/>
          <w:color w:val="auto"/>
          <w:sz w:val="28"/>
          <w:szCs w:val="28"/>
          <w:highlight w:val="none"/>
        </w:rPr>
        <w:t>二、竞争性磋商响应文件的编制</w:t>
      </w:r>
      <w:bookmarkEnd w:id="7"/>
    </w:p>
    <w:p>
      <w:pPr>
        <w:snapToGrid w:val="0"/>
        <w:spacing w:line="600" w:lineRule="exact"/>
        <w:ind w:firstLine="56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8"/>
          <w:szCs w:val="28"/>
          <w:highlight w:val="none"/>
        </w:rPr>
        <w:t>2.1竞争性磋商响应文件编制基本要求</w:t>
      </w:r>
    </w:p>
    <w:p>
      <w:pPr>
        <w:snapToGrid w:val="0"/>
        <w:spacing w:line="600" w:lineRule="exact"/>
        <w:ind w:firstLine="560" w:firstLineChars="200"/>
        <w:rPr>
          <w:color w:val="auto"/>
          <w:highlight w:val="none"/>
        </w:rPr>
      </w:pPr>
      <w:r>
        <w:rPr>
          <w:rFonts w:eastAsia="仿宋_GB2312"/>
          <w:color w:val="auto"/>
          <w:sz w:val="28"/>
          <w:szCs w:val="28"/>
          <w:highlight w:val="none"/>
        </w:rPr>
        <w:t>2.1.1</w:t>
      </w:r>
      <w:r>
        <w:rPr>
          <w:rFonts w:hint="eastAsia" w:eastAsia="仿宋_GB2312"/>
          <w:color w:val="auto"/>
          <w:sz w:val="28"/>
          <w:szCs w:val="28"/>
          <w:highlight w:val="none"/>
        </w:rPr>
        <w:t>磋商供应商对竞争性磋商响应文件的编制应按要求装订和封装。</w:t>
      </w:r>
    </w:p>
    <w:p>
      <w:pPr>
        <w:snapToGrid w:val="0"/>
        <w:spacing w:line="600" w:lineRule="exact"/>
        <w:ind w:firstLine="560" w:firstLineChars="200"/>
        <w:rPr>
          <w:color w:val="auto"/>
          <w:highlight w:val="none"/>
        </w:rPr>
      </w:pPr>
      <w:r>
        <w:rPr>
          <w:rFonts w:eastAsia="仿宋_GB2312"/>
          <w:color w:val="auto"/>
          <w:sz w:val="28"/>
          <w:szCs w:val="28"/>
          <w:highlight w:val="none"/>
        </w:rPr>
        <w:t>2.1.2</w:t>
      </w:r>
      <w:r>
        <w:rPr>
          <w:rFonts w:hint="eastAsia" w:eastAsia="仿宋_GB2312"/>
          <w:color w:val="auto"/>
          <w:sz w:val="28"/>
          <w:szCs w:val="28"/>
          <w:highlight w:val="none"/>
        </w:rPr>
        <w:t>磋商供应商提交的竞争性磋商响应文件以及磋商供应商与就有关磋商的所有来往函电均应使用中文。</w:t>
      </w:r>
      <w:r>
        <w:rPr>
          <w:rFonts w:eastAsia="仿宋_GB2312"/>
          <w:color w:val="auto"/>
          <w:sz w:val="28"/>
          <w:szCs w:val="28"/>
          <w:highlight w:val="none"/>
        </w:rPr>
        <w:t>磋商供应商</w:t>
      </w:r>
      <w:r>
        <w:rPr>
          <w:rFonts w:hint="eastAsia" w:eastAsia="仿宋_GB2312"/>
          <w:color w:val="auto"/>
          <w:sz w:val="28"/>
          <w:szCs w:val="28"/>
          <w:highlight w:val="none"/>
        </w:rPr>
        <w:t>提交的支持文件和印刷的文献可以使用别的语言，但其相应内容必须附有中文翻译文本，在解释竞争性磋商响应文件时以翻译文本为主。</w:t>
      </w:r>
    </w:p>
    <w:p>
      <w:pPr>
        <w:snapToGrid w:val="0"/>
        <w:spacing w:line="600" w:lineRule="exact"/>
        <w:ind w:firstLine="560" w:firstLineChars="200"/>
        <w:rPr>
          <w:color w:val="auto"/>
          <w:highlight w:val="none"/>
        </w:rPr>
      </w:pPr>
      <w:r>
        <w:rPr>
          <w:rFonts w:eastAsia="仿宋_GB2312"/>
          <w:color w:val="auto"/>
          <w:sz w:val="28"/>
          <w:szCs w:val="28"/>
          <w:highlight w:val="none"/>
        </w:rPr>
        <w:t>2.1.3磋商供应商</w:t>
      </w:r>
      <w:r>
        <w:rPr>
          <w:rFonts w:hint="eastAsia" w:eastAsia="仿宋_GB2312"/>
          <w:color w:val="auto"/>
          <w:sz w:val="28"/>
          <w:szCs w:val="28"/>
          <w:highlight w:val="none"/>
        </w:rPr>
        <w:t>应认真阅读、并充分理解本文件的全部内容（包括所有的补充、修改内容），承诺并履行本文件中各项条款规定及要求。</w:t>
      </w:r>
    </w:p>
    <w:p>
      <w:pPr>
        <w:snapToGrid w:val="0"/>
        <w:spacing w:line="600" w:lineRule="exact"/>
        <w:ind w:firstLine="560" w:firstLineChars="200"/>
        <w:rPr>
          <w:color w:val="auto"/>
          <w:highlight w:val="none"/>
        </w:rPr>
      </w:pPr>
      <w:r>
        <w:rPr>
          <w:rFonts w:eastAsia="仿宋_GB2312"/>
          <w:color w:val="auto"/>
          <w:sz w:val="28"/>
          <w:szCs w:val="28"/>
          <w:highlight w:val="none"/>
        </w:rPr>
        <w:t>2.1.4</w:t>
      </w:r>
      <w:r>
        <w:rPr>
          <w:rFonts w:hint="eastAsia" w:eastAsia="仿宋_GB2312"/>
          <w:color w:val="auto"/>
          <w:sz w:val="28"/>
          <w:szCs w:val="28"/>
          <w:highlight w:val="none"/>
        </w:rPr>
        <w:t>竞争性磋商响应文件必须按本文件的全部内容，包括所有的补充通知及附件进行编制。</w:t>
      </w:r>
    </w:p>
    <w:p>
      <w:pPr>
        <w:snapToGrid w:val="0"/>
        <w:spacing w:line="600" w:lineRule="exact"/>
        <w:ind w:firstLine="560" w:firstLineChars="200"/>
        <w:rPr>
          <w:color w:val="auto"/>
          <w:highlight w:val="none"/>
        </w:rPr>
      </w:pPr>
      <w:r>
        <w:rPr>
          <w:rFonts w:eastAsia="仿宋_GB2312"/>
          <w:color w:val="auto"/>
          <w:sz w:val="28"/>
          <w:szCs w:val="28"/>
          <w:highlight w:val="none"/>
        </w:rPr>
        <w:t>2.1.5</w:t>
      </w:r>
      <w:r>
        <w:rPr>
          <w:rFonts w:hint="eastAsia" w:eastAsia="仿宋_GB2312"/>
          <w:color w:val="auto"/>
          <w:sz w:val="28"/>
          <w:szCs w:val="28"/>
          <w:highlight w:val="none"/>
        </w:rPr>
        <w:t>如因磋商</w:t>
      </w:r>
      <w:r>
        <w:rPr>
          <w:rFonts w:eastAsia="仿宋_GB2312"/>
          <w:color w:val="auto"/>
          <w:sz w:val="28"/>
          <w:szCs w:val="28"/>
          <w:highlight w:val="none"/>
        </w:rPr>
        <w:t>供应商</w:t>
      </w:r>
      <w:r>
        <w:rPr>
          <w:rFonts w:hint="eastAsia" w:eastAsia="仿宋_GB2312"/>
          <w:color w:val="auto"/>
          <w:sz w:val="28"/>
          <w:szCs w:val="28"/>
          <w:highlight w:val="none"/>
        </w:rPr>
        <w:t>只填写和提供了本文件要求的部分内容和附件，而给评审造成困难，其可能导致的结果和责任由磋商</w:t>
      </w:r>
      <w:r>
        <w:rPr>
          <w:rFonts w:eastAsia="仿宋_GB2312"/>
          <w:color w:val="auto"/>
          <w:sz w:val="28"/>
          <w:szCs w:val="28"/>
          <w:highlight w:val="none"/>
        </w:rPr>
        <w:t>供应商</w:t>
      </w:r>
      <w:r>
        <w:rPr>
          <w:rFonts w:hint="eastAsia" w:eastAsia="仿宋_GB2312"/>
          <w:color w:val="auto"/>
          <w:sz w:val="28"/>
          <w:szCs w:val="28"/>
          <w:highlight w:val="none"/>
        </w:rPr>
        <w:t>自行承担。</w:t>
      </w:r>
    </w:p>
    <w:p>
      <w:pPr>
        <w:snapToGrid w:val="0"/>
        <w:spacing w:line="600" w:lineRule="exact"/>
        <w:ind w:firstLine="560" w:firstLineChars="200"/>
        <w:rPr>
          <w:color w:val="auto"/>
          <w:highlight w:val="none"/>
        </w:rPr>
      </w:pPr>
      <w:r>
        <w:rPr>
          <w:rFonts w:eastAsia="仿宋_GB2312"/>
          <w:color w:val="auto"/>
          <w:sz w:val="28"/>
          <w:szCs w:val="28"/>
          <w:highlight w:val="none"/>
        </w:rPr>
        <w:t>2.1.6</w:t>
      </w:r>
      <w:r>
        <w:rPr>
          <w:rFonts w:hint="eastAsia" w:eastAsia="仿宋_GB2312"/>
          <w:color w:val="auto"/>
          <w:sz w:val="28"/>
          <w:szCs w:val="28"/>
          <w:highlight w:val="none"/>
        </w:rPr>
        <w:t>竞争性磋商响应文件的组成</w:t>
      </w:r>
    </w:p>
    <w:p>
      <w:pPr>
        <w:snapToGrid w:val="0"/>
        <w:spacing w:line="600" w:lineRule="exact"/>
        <w:ind w:firstLine="560" w:firstLineChars="200"/>
        <w:rPr>
          <w:color w:val="auto"/>
          <w:highlight w:val="none"/>
        </w:rPr>
      </w:pPr>
      <w:r>
        <w:rPr>
          <w:rFonts w:hint="eastAsia" w:eastAsia="仿宋_GB2312"/>
          <w:color w:val="auto"/>
          <w:sz w:val="28"/>
          <w:szCs w:val="28"/>
          <w:highlight w:val="none"/>
        </w:rPr>
        <w:t>竞争性磋商响应文件应分为商务文件、资格证明文件和技术文件三个部分组成，商务文件和资格证明文件合并编制，技术文件单独编制。</w:t>
      </w:r>
    </w:p>
    <w:p>
      <w:pPr>
        <w:snapToGrid w:val="0"/>
        <w:spacing w:line="600" w:lineRule="exact"/>
        <w:ind w:firstLine="560" w:firstLineChars="200"/>
        <w:rPr>
          <w:color w:val="auto"/>
          <w:highlight w:val="none"/>
        </w:rPr>
      </w:pPr>
      <w:r>
        <w:rPr>
          <w:rFonts w:eastAsia="仿宋_GB2312"/>
          <w:color w:val="auto"/>
          <w:sz w:val="28"/>
          <w:szCs w:val="28"/>
          <w:highlight w:val="none"/>
        </w:rPr>
        <w:t>2.1.6.1</w:t>
      </w:r>
      <w:r>
        <w:rPr>
          <w:rFonts w:hint="eastAsia" w:eastAsia="仿宋_GB2312"/>
          <w:color w:val="auto"/>
          <w:sz w:val="28"/>
          <w:szCs w:val="28"/>
          <w:highlight w:val="none"/>
        </w:rPr>
        <w:t>商务文件</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（1）磋商书（详见附件1）；</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（2）报价表（详见附件2）；</w:t>
      </w:r>
      <w:r>
        <w:rPr>
          <w:rFonts w:eastAsia="仿宋_GB2312"/>
          <w:b/>
          <w:bCs/>
          <w:color w:val="auto"/>
          <w:sz w:val="28"/>
          <w:szCs w:val="28"/>
          <w:highlight w:val="none"/>
        </w:rPr>
        <w:t>（必须提供，否则响应文件按无效响应处理）</w:t>
      </w:r>
    </w:p>
    <w:p>
      <w:pPr>
        <w:pStyle w:val="11"/>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3</w:t>
      </w:r>
      <w:r>
        <w:rPr>
          <w:rFonts w:hint="eastAsia" w:ascii="Times New Roman" w:hAnsi="Times New Roman" w:eastAsia="仿宋_GB2312"/>
          <w:b w:val="0"/>
          <w:bCs w:val="0"/>
          <w:caps w:val="0"/>
          <w:color w:val="auto"/>
          <w:sz w:val="28"/>
          <w:szCs w:val="28"/>
          <w:highlight w:val="none"/>
        </w:rPr>
        <w:t>）优惠条件（如有）；</w:t>
      </w:r>
      <w:r>
        <w:rPr>
          <w:rFonts w:ascii="Times New Roman" w:hAnsi="Times New Roman" w:eastAsia="仿宋_GB2312"/>
          <w:b w:val="0"/>
          <w:bCs w:val="0"/>
          <w:caps w:val="0"/>
          <w:color w:val="auto"/>
          <w:sz w:val="28"/>
          <w:szCs w:val="28"/>
          <w:highlight w:val="none"/>
        </w:rPr>
        <w:t xml:space="preserve"> </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（4）商务响应表；（详见附件</w:t>
      </w:r>
      <w:r>
        <w:rPr>
          <w:rFonts w:eastAsia="仿宋_GB2312"/>
          <w:color w:val="auto"/>
          <w:sz w:val="28"/>
          <w:szCs w:val="28"/>
          <w:highlight w:val="none"/>
        </w:rPr>
        <w:t>3</w:t>
      </w:r>
      <w:r>
        <w:rPr>
          <w:rFonts w:hint="eastAsia" w:eastAsia="仿宋_GB2312"/>
          <w:color w:val="auto"/>
          <w:sz w:val="28"/>
          <w:szCs w:val="28"/>
          <w:highlight w:val="none"/>
        </w:rPr>
        <w:t>）</w:t>
      </w:r>
    </w:p>
    <w:p>
      <w:pPr>
        <w:pStyle w:val="11"/>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5</w:t>
      </w:r>
      <w:r>
        <w:rPr>
          <w:rFonts w:hint="eastAsia" w:ascii="Times New Roman" w:hAnsi="Times New Roman" w:eastAsia="仿宋_GB2312"/>
          <w:b w:val="0"/>
          <w:bCs w:val="0"/>
          <w:caps w:val="0"/>
          <w:color w:val="auto"/>
          <w:sz w:val="28"/>
          <w:szCs w:val="28"/>
          <w:highlight w:val="none"/>
        </w:rPr>
        <w:t>）供应商认为必要提供的相关证明材料（详见附件</w:t>
      </w:r>
      <w:r>
        <w:rPr>
          <w:rFonts w:ascii="Times New Roman" w:hAnsi="Times New Roman" w:eastAsia="仿宋_GB2312"/>
          <w:b w:val="0"/>
          <w:bCs w:val="0"/>
          <w:caps w:val="0"/>
          <w:color w:val="auto"/>
          <w:sz w:val="28"/>
          <w:szCs w:val="28"/>
          <w:highlight w:val="none"/>
        </w:rPr>
        <w:t>4</w:t>
      </w:r>
      <w:r>
        <w:rPr>
          <w:rFonts w:hint="eastAsia" w:ascii="Times New Roman" w:hAnsi="Times New Roman" w:eastAsia="仿宋_GB2312"/>
          <w:b w:val="0"/>
          <w:bCs w:val="0"/>
          <w:caps w:val="0"/>
          <w:color w:val="auto"/>
          <w:sz w:val="28"/>
          <w:szCs w:val="28"/>
          <w:highlight w:val="none"/>
        </w:rPr>
        <w:t>）；</w:t>
      </w:r>
    </w:p>
    <w:p>
      <w:pPr>
        <w:snapToGrid w:val="0"/>
        <w:spacing w:line="600" w:lineRule="exact"/>
        <w:ind w:firstLine="560" w:firstLineChars="200"/>
        <w:rPr>
          <w:color w:val="auto"/>
          <w:highlight w:val="none"/>
        </w:rPr>
      </w:pPr>
      <w:r>
        <w:rPr>
          <w:rFonts w:eastAsia="仿宋_GB2312"/>
          <w:color w:val="auto"/>
          <w:sz w:val="28"/>
          <w:szCs w:val="28"/>
          <w:highlight w:val="none"/>
        </w:rPr>
        <w:t>2.1.6.2</w:t>
      </w:r>
      <w:r>
        <w:rPr>
          <w:rFonts w:hint="eastAsia" w:eastAsia="仿宋_GB2312"/>
          <w:color w:val="auto"/>
          <w:sz w:val="28"/>
          <w:szCs w:val="28"/>
          <w:highlight w:val="none"/>
        </w:rPr>
        <w:t>资格证明文件</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（1）法人或者其他组织的营业执照等证明文件（如营业执照或事业单位法人证书或执业许可证等），自然人的身份证复印件（</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（2）法定代表人</w:t>
      </w:r>
      <w:r>
        <w:rPr>
          <w:rFonts w:hint="eastAsia" w:eastAsia="仿宋_GB2312"/>
          <w:color w:val="auto"/>
          <w:sz w:val="28"/>
          <w:szCs w:val="28"/>
          <w:highlight w:val="none"/>
        </w:rPr>
        <w:t>（负责人）</w:t>
      </w:r>
      <w:r>
        <w:rPr>
          <w:rFonts w:eastAsia="仿宋_GB2312"/>
          <w:color w:val="auto"/>
          <w:sz w:val="28"/>
          <w:szCs w:val="28"/>
          <w:highlight w:val="none"/>
        </w:rPr>
        <w:t>身份证明书及法定代表人</w:t>
      </w:r>
      <w:r>
        <w:rPr>
          <w:rFonts w:hint="eastAsia" w:eastAsia="仿宋_GB2312"/>
          <w:color w:val="auto"/>
          <w:sz w:val="28"/>
          <w:szCs w:val="28"/>
          <w:highlight w:val="none"/>
        </w:rPr>
        <w:t>（负责人）</w:t>
      </w:r>
      <w:r>
        <w:rPr>
          <w:rFonts w:eastAsia="仿宋_GB2312"/>
          <w:color w:val="auto"/>
          <w:sz w:val="28"/>
          <w:szCs w:val="28"/>
          <w:highlight w:val="none"/>
        </w:rPr>
        <w:t>有效身份证正反面复印件（详见附件5）；</w:t>
      </w:r>
      <w:r>
        <w:rPr>
          <w:rFonts w:eastAsia="仿宋_GB2312"/>
          <w:b/>
          <w:bCs/>
          <w:color w:val="auto"/>
          <w:sz w:val="28"/>
          <w:szCs w:val="28"/>
          <w:highlight w:val="none"/>
        </w:rPr>
        <w:t>（除自然人竞标外必须提供，否则响应文件按无效响应处理）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（3）法定代表人</w:t>
      </w:r>
      <w:r>
        <w:rPr>
          <w:rFonts w:hint="eastAsia" w:eastAsia="仿宋_GB2312"/>
          <w:color w:val="auto"/>
          <w:sz w:val="28"/>
          <w:szCs w:val="28"/>
          <w:highlight w:val="none"/>
        </w:rPr>
        <w:t>（负责人）</w:t>
      </w:r>
      <w:r>
        <w:rPr>
          <w:rFonts w:eastAsia="仿宋_GB2312"/>
          <w:color w:val="auto"/>
          <w:sz w:val="28"/>
          <w:szCs w:val="28"/>
          <w:highlight w:val="none"/>
        </w:rPr>
        <w:t>授权委托书及委托代理人有效身份证正反面复印件（详见附件6）；</w:t>
      </w:r>
      <w:r>
        <w:rPr>
          <w:rFonts w:eastAsia="仿宋_GB2312"/>
          <w:b/>
          <w:color w:val="auto"/>
          <w:sz w:val="28"/>
          <w:szCs w:val="28"/>
          <w:highlight w:val="none"/>
        </w:rPr>
        <w:t>（委托时必须提供，否则响应文件按无效响应处理）</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（4）廉洁承诺书；（详见附件7）；</w:t>
      </w:r>
      <w:r>
        <w:rPr>
          <w:rFonts w:eastAsia="仿宋_GB2312"/>
          <w:b/>
          <w:color w:val="auto"/>
          <w:sz w:val="28"/>
          <w:szCs w:val="28"/>
          <w:highlight w:val="none"/>
        </w:rPr>
        <w:t>（必须提供，否则响应文件按无效响应处理）</w:t>
      </w:r>
      <w:r>
        <w:rPr>
          <w:rFonts w:eastAsia="仿宋_GB2312"/>
          <w:color w:val="auto"/>
          <w:sz w:val="28"/>
          <w:szCs w:val="28"/>
          <w:highlight w:val="none"/>
        </w:rPr>
        <w:t xml:space="preserve">   </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）供应商认为必要提供的声明及文件资料；（详见附件8）</w:t>
      </w:r>
    </w:p>
    <w:p>
      <w:pPr>
        <w:snapToGrid w:val="0"/>
        <w:spacing w:line="600" w:lineRule="exact"/>
        <w:ind w:firstLine="560" w:firstLineChars="200"/>
        <w:jc w:val="left"/>
        <w:rPr>
          <w:rFonts w:eastAsia="仿宋_GB2312"/>
          <w:color w:val="auto"/>
          <w:sz w:val="28"/>
          <w:szCs w:val="28"/>
          <w:highlight w:val="none"/>
        </w:rPr>
      </w:pPr>
      <w:r>
        <w:rPr>
          <w:rFonts w:eastAsia="仿宋_GB2312"/>
          <w:color w:val="auto"/>
          <w:sz w:val="28"/>
          <w:szCs w:val="28"/>
          <w:highlight w:val="none"/>
        </w:rPr>
        <w:t>2.1.6.3技术文件</w:t>
      </w:r>
    </w:p>
    <w:p>
      <w:pPr>
        <w:snapToGrid w:val="0"/>
        <w:spacing w:line="600" w:lineRule="exact"/>
        <w:ind w:firstLine="560" w:firstLineChars="200"/>
        <w:rPr>
          <w:rFonts w:eastAsia="仿宋_GB2312"/>
          <w:b/>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技术响应</w:t>
      </w:r>
      <w:r>
        <w:rPr>
          <w:rFonts w:eastAsia="仿宋_GB2312"/>
          <w:color w:val="auto"/>
          <w:sz w:val="28"/>
          <w:szCs w:val="28"/>
          <w:highlight w:val="none"/>
        </w:rPr>
        <w:t>表；（详见附件9）</w:t>
      </w:r>
      <w:r>
        <w:rPr>
          <w:rFonts w:eastAsia="仿宋_GB2312"/>
          <w:b/>
          <w:color w:val="auto"/>
          <w:sz w:val="28"/>
          <w:szCs w:val="28"/>
          <w:highlight w:val="none"/>
        </w:rPr>
        <w:t>（必须提供，否则响应文件按无效响应处理）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（2）服务承诺书；（详见附件10）</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服务方案</w:t>
      </w:r>
      <w:r>
        <w:rPr>
          <w:rFonts w:eastAsia="仿宋_GB2312"/>
          <w:color w:val="auto"/>
          <w:sz w:val="28"/>
          <w:szCs w:val="28"/>
          <w:highlight w:val="none"/>
        </w:rPr>
        <w:t>；（详见附件11）</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实施</w:t>
      </w:r>
      <w:r>
        <w:rPr>
          <w:rFonts w:eastAsia="仿宋_GB2312"/>
          <w:color w:val="auto"/>
          <w:sz w:val="28"/>
          <w:szCs w:val="28"/>
          <w:highlight w:val="none"/>
        </w:rPr>
        <w:t>方案；（详见附件12）</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售后服务</w:t>
      </w:r>
      <w:r>
        <w:rPr>
          <w:rFonts w:eastAsia="仿宋_GB2312"/>
          <w:color w:val="auto"/>
          <w:sz w:val="28"/>
          <w:szCs w:val="28"/>
          <w:highlight w:val="none"/>
        </w:rPr>
        <w:t>方案；（详见附件13）</w:t>
      </w:r>
    </w:p>
    <w:p>
      <w:pPr>
        <w:snapToGrid w:val="0"/>
        <w:spacing w:line="600" w:lineRule="exact"/>
        <w:ind w:firstLine="560" w:firstLineChars="200"/>
        <w:jc w:val="left"/>
        <w:rPr>
          <w:color w:val="auto"/>
          <w:highlight w:val="none"/>
        </w:rPr>
      </w:pPr>
      <w:r>
        <w:rPr>
          <w:rFonts w:eastAsia="仿宋_GB2312"/>
          <w:color w:val="auto"/>
          <w:sz w:val="28"/>
          <w:szCs w:val="28"/>
          <w:highlight w:val="none"/>
        </w:rPr>
        <w:t>（6）其他；</w:t>
      </w:r>
      <w:r>
        <w:rPr>
          <w:rFonts w:hint="eastAsia" w:eastAsia="仿宋_GB2312"/>
          <w:color w:val="auto"/>
          <w:sz w:val="28"/>
          <w:szCs w:val="28"/>
          <w:highlight w:val="none"/>
        </w:rPr>
        <w:t>（详见附件</w:t>
      </w:r>
      <w:r>
        <w:rPr>
          <w:rFonts w:eastAsia="仿宋_GB2312"/>
          <w:color w:val="auto"/>
          <w:sz w:val="28"/>
          <w:szCs w:val="28"/>
          <w:highlight w:val="none"/>
        </w:rPr>
        <w:t>14</w:t>
      </w:r>
      <w:r>
        <w:rPr>
          <w:rFonts w:hint="eastAsia" w:eastAsia="仿宋_GB2312"/>
          <w:color w:val="auto"/>
          <w:sz w:val="28"/>
          <w:szCs w:val="28"/>
          <w:highlight w:val="none"/>
        </w:rPr>
        <w:t>）</w:t>
      </w:r>
    </w:p>
    <w:p>
      <w:pPr>
        <w:snapToGrid w:val="0"/>
        <w:spacing w:line="600" w:lineRule="exact"/>
        <w:ind w:firstLine="562" w:firstLineChars="200"/>
        <w:rPr>
          <w:color w:val="auto"/>
          <w:highlight w:val="none"/>
        </w:rPr>
      </w:pPr>
      <w:r>
        <w:rPr>
          <w:rFonts w:eastAsia="仿宋_GB2312"/>
          <w:b/>
          <w:bCs/>
          <w:color w:val="auto"/>
          <w:sz w:val="28"/>
          <w:szCs w:val="28"/>
          <w:highlight w:val="none"/>
        </w:rPr>
        <w:t>2.2</w:t>
      </w:r>
      <w:r>
        <w:rPr>
          <w:rFonts w:hint="eastAsia" w:eastAsia="仿宋_GB2312"/>
          <w:b/>
          <w:bCs/>
          <w:color w:val="auto"/>
          <w:sz w:val="28"/>
          <w:szCs w:val="28"/>
          <w:highlight w:val="none"/>
        </w:rPr>
        <w:t>计量单位</w:t>
      </w:r>
    </w:p>
    <w:p>
      <w:pPr>
        <w:snapToGrid w:val="0"/>
        <w:spacing w:line="600" w:lineRule="exact"/>
        <w:ind w:firstLine="560" w:firstLineChars="200"/>
        <w:rPr>
          <w:color w:val="auto"/>
          <w:highlight w:val="none"/>
        </w:rPr>
      </w:pPr>
      <w:r>
        <w:rPr>
          <w:rFonts w:eastAsia="仿宋_GB2312"/>
          <w:color w:val="auto"/>
          <w:sz w:val="28"/>
          <w:szCs w:val="28"/>
          <w:highlight w:val="none"/>
        </w:rPr>
        <w:t>2.2.1</w:t>
      </w:r>
      <w:r>
        <w:rPr>
          <w:rFonts w:hint="eastAsia" w:eastAsia="仿宋_GB2312"/>
          <w:color w:val="auto"/>
          <w:sz w:val="28"/>
          <w:szCs w:val="28"/>
          <w:highlight w:val="none"/>
        </w:rPr>
        <w:t>除技术要求中另有规定外，本文件所要求使用的计量单位均应采用国家法定计量单位。</w:t>
      </w:r>
    </w:p>
    <w:p>
      <w:pPr>
        <w:snapToGrid w:val="0"/>
        <w:spacing w:line="600" w:lineRule="exact"/>
        <w:ind w:firstLine="560" w:firstLineChars="200"/>
        <w:outlineLvl w:val="1"/>
        <w:rPr>
          <w:color w:val="auto"/>
          <w:highlight w:val="none"/>
        </w:rPr>
      </w:pPr>
      <w:bookmarkStart w:id="8" w:name="_Toc15327"/>
      <w:r>
        <w:rPr>
          <w:rFonts w:hint="eastAsia" w:eastAsia="黑体"/>
          <w:bCs/>
          <w:color w:val="auto"/>
          <w:sz w:val="28"/>
          <w:szCs w:val="28"/>
          <w:highlight w:val="none"/>
        </w:rPr>
        <w:t>三、磋商报价要求</w:t>
      </w:r>
      <w:bookmarkEnd w:id="8"/>
    </w:p>
    <w:p>
      <w:pPr>
        <w:snapToGrid w:val="0"/>
        <w:spacing w:line="600" w:lineRule="exact"/>
        <w:ind w:firstLine="560" w:firstLineChars="200"/>
        <w:rPr>
          <w:color w:val="auto"/>
          <w:highlight w:val="none"/>
        </w:rPr>
      </w:pPr>
      <w:bookmarkStart w:id="9" w:name="_Toc150"/>
      <w:r>
        <w:rPr>
          <w:rFonts w:hint="eastAsia" w:eastAsia="仿宋_GB2312"/>
          <w:color w:val="auto"/>
          <w:sz w:val="28"/>
          <w:szCs w:val="28"/>
          <w:highlight w:val="none"/>
        </w:rPr>
        <w:t>3</w:t>
      </w:r>
      <w:r>
        <w:rPr>
          <w:rFonts w:eastAsia="仿宋_GB2312"/>
          <w:color w:val="auto"/>
          <w:sz w:val="28"/>
          <w:szCs w:val="28"/>
          <w:highlight w:val="none"/>
        </w:rPr>
        <w:t>.1磋商供应商</w:t>
      </w:r>
      <w:r>
        <w:rPr>
          <w:rFonts w:hint="eastAsia" w:eastAsia="仿宋_GB2312"/>
          <w:color w:val="auto"/>
          <w:sz w:val="28"/>
          <w:szCs w:val="28"/>
          <w:highlight w:val="none"/>
        </w:rPr>
        <w:t>须按照本文件所列项目内容报价，本文件未列明的细项，</w:t>
      </w:r>
      <w:r>
        <w:rPr>
          <w:rFonts w:eastAsia="仿宋_GB2312"/>
          <w:color w:val="auto"/>
          <w:sz w:val="28"/>
          <w:szCs w:val="28"/>
          <w:highlight w:val="none"/>
        </w:rPr>
        <w:t>磋商供应商</w:t>
      </w:r>
      <w:r>
        <w:rPr>
          <w:rFonts w:hint="eastAsia" w:eastAsia="仿宋_GB2312"/>
          <w:color w:val="auto"/>
          <w:sz w:val="28"/>
          <w:szCs w:val="28"/>
          <w:highlight w:val="none"/>
        </w:rPr>
        <w:t>可根据会务执行实际情况列入报价清单，如结算时未发生的将不予以计算。</w:t>
      </w:r>
      <w:r>
        <w:rPr>
          <w:rFonts w:eastAsia="仿宋_GB2312"/>
          <w:color w:val="auto"/>
          <w:sz w:val="28"/>
          <w:szCs w:val="28"/>
          <w:highlight w:val="none"/>
        </w:rPr>
        <w:t xml:space="preserve"> </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四、竞争性磋商响应文件的份数、封装和递交</w:t>
      </w:r>
      <w:bookmarkEnd w:id="9"/>
    </w:p>
    <w:p>
      <w:pPr>
        <w:snapToGrid w:val="0"/>
        <w:spacing w:line="600" w:lineRule="exact"/>
        <w:ind w:firstLine="560" w:firstLineChars="200"/>
        <w:rPr>
          <w:rFonts w:hint="eastAsia" w:eastAsia="仿宋_GB2312"/>
          <w:b/>
          <w:bCs/>
          <w:caps/>
          <w:color w:val="auto"/>
          <w:sz w:val="28"/>
          <w:szCs w:val="28"/>
          <w:highlight w:val="none"/>
        </w:rPr>
      </w:pPr>
      <w:r>
        <w:rPr>
          <w:rFonts w:hint="eastAsia" w:eastAsia="仿宋_GB2312"/>
          <w:color w:val="auto"/>
          <w:sz w:val="28"/>
          <w:szCs w:val="28"/>
          <w:highlight w:val="none"/>
        </w:rPr>
        <w:t>响应文件的份数：商务文件和资格证明文件合并装订，正本1份，副本2份；技术文件单独装订，正本1份，副本2份。</w:t>
      </w:r>
    </w:p>
    <w:p>
      <w:pPr>
        <w:pStyle w:val="11"/>
        <w:snapToGrid w:val="0"/>
        <w:spacing w:before="0" w:after="0" w:line="600" w:lineRule="exact"/>
        <w:ind w:firstLine="560" w:firstLineChars="200"/>
        <w:rPr>
          <w:rFonts w:hint="eastAsia"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响应文件密封方式：响应文件盖，纸质版装入响应文件袋（箱）中密封投递。</w:t>
      </w:r>
    </w:p>
    <w:p>
      <w:pPr>
        <w:pStyle w:val="11"/>
        <w:snapToGrid w:val="0"/>
        <w:spacing w:before="0" w:after="0" w:line="600" w:lineRule="exact"/>
        <w:ind w:firstLine="562" w:firstLineChars="200"/>
        <w:rPr>
          <w:color w:val="auto"/>
          <w:highlight w:val="none"/>
        </w:rPr>
      </w:pPr>
      <w:r>
        <w:rPr>
          <w:rFonts w:ascii="仿宋_GB2312" w:hAnsi="仿宋_GB2312" w:eastAsia="仿宋_GB2312" w:cs="仿宋_GB2312"/>
          <w:color w:val="auto"/>
          <w:sz w:val="28"/>
          <w:szCs w:val="28"/>
          <w:highlight w:val="none"/>
        </w:rPr>
        <w:t>4.1</w:t>
      </w:r>
      <w:r>
        <w:rPr>
          <w:rFonts w:hint="eastAsia" w:ascii="仿宋_GB2312" w:hAnsi="仿宋_GB2312" w:eastAsia="仿宋_GB2312" w:cs="仿宋_GB2312"/>
          <w:color w:val="auto"/>
          <w:sz w:val="28"/>
          <w:szCs w:val="28"/>
          <w:highlight w:val="none"/>
        </w:rPr>
        <w:t>磋商响应文件的份数和封装</w:t>
      </w:r>
    </w:p>
    <w:p>
      <w:pPr>
        <w:snapToGrid w:val="0"/>
        <w:spacing w:line="600" w:lineRule="exact"/>
        <w:ind w:firstLine="560" w:firstLineChars="200"/>
        <w:rPr>
          <w:color w:val="auto"/>
          <w:highlight w:val="none"/>
        </w:rPr>
      </w:pPr>
      <w:r>
        <w:rPr>
          <w:rFonts w:eastAsia="仿宋_GB2312"/>
          <w:color w:val="auto"/>
          <w:sz w:val="28"/>
          <w:szCs w:val="28"/>
          <w:highlight w:val="none"/>
        </w:rPr>
        <w:t>4.1.1磋商供应商应将竞争性磋商响应文件递交广西南博国际信息有限公司。</w:t>
      </w:r>
    </w:p>
    <w:p>
      <w:pPr>
        <w:snapToGrid w:val="0"/>
        <w:spacing w:line="600" w:lineRule="exact"/>
        <w:ind w:firstLine="560" w:firstLineChars="200"/>
        <w:rPr>
          <w:color w:val="auto"/>
          <w:highlight w:val="none"/>
        </w:rPr>
      </w:pPr>
      <w:r>
        <w:rPr>
          <w:rFonts w:eastAsia="仿宋_GB2312"/>
          <w:color w:val="auto"/>
          <w:sz w:val="28"/>
          <w:szCs w:val="28"/>
          <w:highlight w:val="none"/>
        </w:rPr>
        <w:t>4.1.2</w:t>
      </w:r>
      <w:r>
        <w:rPr>
          <w:rFonts w:hint="eastAsia" w:ascii="仿宋_GB2312" w:hAnsi="仿宋_GB2312" w:eastAsia="仿宋_GB2312" w:cs="仿宋_GB2312"/>
          <w:color w:val="auto"/>
          <w:sz w:val="28"/>
          <w:szCs w:val="28"/>
          <w:highlight w:val="none"/>
        </w:rPr>
        <w:t>竞争性磋商响应文件的外层包封上应写明：</w:t>
      </w:r>
    </w:p>
    <w:p>
      <w:pPr>
        <w:snapToGrid w:val="0"/>
        <w:spacing w:line="600" w:lineRule="exact"/>
        <w:ind w:firstLine="560" w:firstLineChars="200"/>
        <w:rPr>
          <w:color w:val="auto"/>
          <w:highlight w:val="none"/>
        </w:rPr>
      </w:pPr>
      <w:r>
        <w:rPr>
          <w:rFonts w:hint="eastAsia" w:eastAsia="仿宋_GB2312"/>
          <w:color w:val="auto"/>
          <w:sz w:val="28"/>
          <w:szCs w:val="28"/>
          <w:highlight w:val="none"/>
        </w:rPr>
        <w:t>(</w:t>
      </w:r>
      <w:r>
        <w:rPr>
          <w:rFonts w:eastAsia="仿宋_GB2312"/>
          <w:color w:val="auto"/>
          <w:sz w:val="28"/>
          <w:szCs w:val="28"/>
          <w:highlight w:val="none"/>
        </w:rPr>
        <w:t>1</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竞争性磋商项目名称；</w:t>
      </w:r>
    </w:p>
    <w:p>
      <w:pPr>
        <w:snapToGrid w:val="0"/>
        <w:spacing w:line="600" w:lineRule="exact"/>
        <w:ind w:firstLine="560" w:firstLineChars="200"/>
        <w:rPr>
          <w:rFonts w:ascii="仿宋_GB2312" w:hAnsi="仿宋_GB2312" w:eastAsia="仿宋_GB2312" w:cs="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w:t>
      </w:r>
      <w:r>
        <w:rPr>
          <w:rFonts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rPr>
        <w:t>名称；</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eastAsia="仿宋_GB2312"/>
          <w:color w:val="auto"/>
          <w:sz w:val="28"/>
          <w:szCs w:val="28"/>
          <w:highlight w:val="none"/>
        </w:rPr>
        <w:t>供应商地址；</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ascii="宋体" w:hAnsi="宋体" w:eastAsia="仿宋_GB2312"/>
          <w:caps/>
          <w:color w:val="auto"/>
          <w:sz w:val="28"/>
          <w:szCs w:val="28"/>
          <w:highlight w:val="none"/>
        </w:rPr>
        <w:t>开</w:t>
      </w:r>
      <w:r>
        <w:rPr>
          <w:rFonts w:hint="eastAsia" w:ascii="仿宋_GB2312" w:hAnsi="仿宋_GB2312" w:eastAsia="仿宋_GB2312" w:cs="仿宋_GB2312"/>
          <w:color w:val="auto"/>
          <w:sz w:val="28"/>
          <w:szCs w:val="28"/>
          <w:highlight w:val="none"/>
        </w:rPr>
        <w:t>标时才能开启。</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4.2</w:t>
      </w:r>
      <w:r>
        <w:rPr>
          <w:rFonts w:hint="eastAsia" w:ascii="仿宋_GB2312" w:hAnsi="仿宋_GB2312" w:eastAsia="仿宋_GB2312" w:cs="仿宋_GB2312"/>
          <w:b/>
          <w:bCs/>
          <w:color w:val="auto"/>
          <w:sz w:val="28"/>
          <w:szCs w:val="28"/>
          <w:highlight w:val="none"/>
        </w:rPr>
        <w:t>竞争性磋商响应文件的递交</w:t>
      </w:r>
    </w:p>
    <w:p>
      <w:pPr>
        <w:snapToGrid w:val="0"/>
        <w:spacing w:line="600" w:lineRule="exact"/>
        <w:ind w:firstLine="560" w:firstLineChars="200"/>
        <w:rPr>
          <w:rFonts w:hint="eastAsia" w:eastAsia="仿宋_GB2312"/>
          <w:color w:val="auto"/>
          <w:highlight w:val="none"/>
        </w:rPr>
      </w:pPr>
      <w:r>
        <w:rPr>
          <w:rFonts w:hint="eastAsia" w:ascii="仿宋_GB2312" w:hAnsi="仿宋_GB2312" w:eastAsia="仿宋_GB2312" w:cs="仿宋_GB2312"/>
          <w:color w:val="auto"/>
          <w:sz w:val="28"/>
          <w:szCs w:val="28"/>
          <w:highlight w:val="none"/>
        </w:rPr>
        <w:t>所有竞争性磋商响应文件应于“第一章</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磋商邀请函”中规定的时间递交广西南博国际信息有限公司。</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4.3</w:t>
      </w:r>
      <w:r>
        <w:rPr>
          <w:rFonts w:hint="eastAsia" w:ascii="仿宋_GB2312" w:hAnsi="仿宋_GB2312" w:eastAsia="仿宋_GB2312" w:cs="仿宋_GB2312"/>
          <w:b/>
          <w:bCs/>
          <w:color w:val="auto"/>
          <w:sz w:val="28"/>
          <w:szCs w:val="28"/>
          <w:highlight w:val="none"/>
        </w:rPr>
        <w:t>迟交的竞争性磋商响应文件</w:t>
      </w:r>
    </w:p>
    <w:p>
      <w:pPr>
        <w:snapToGrid w:val="0"/>
        <w:spacing w:line="600" w:lineRule="exact"/>
        <w:ind w:firstLine="560" w:firstLineChars="200"/>
        <w:rPr>
          <w:color w:val="auto"/>
          <w:highlight w:val="none"/>
        </w:rPr>
      </w:pPr>
      <w:r>
        <w:rPr>
          <w:rFonts w:hint="eastAsia" w:ascii="仿宋_GB2312" w:hAnsi="仿宋_GB2312" w:eastAsia="仿宋_GB2312" w:cs="仿宋_GB2312"/>
          <w:color w:val="auto"/>
          <w:sz w:val="28"/>
          <w:szCs w:val="28"/>
          <w:highlight w:val="none"/>
        </w:rPr>
        <w:t>采购单位将拒绝或原封退回在其规定的递交竞争性磋商响应文件截止时间之后收到的任何竞争性磋商响应文件。</w:t>
      </w:r>
    </w:p>
    <w:p>
      <w:pPr>
        <w:snapToGrid w:val="0"/>
        <w:spacing w:line="600" w:lineRule="exact"/>
        <w:ind w:firstLine="560" w:firstLineChars="200"/>
        <w:outlineLvl w:val="1"/>
        <w:rPr>
          <w:color w:val="auto"/>
          <w:highlight w:val="none"/>
        </w:rPr>
      </w:pPr>
      <w:bookmarkStart w:id="10" w:name="_Toc17194"/>
      <w:r>
        <w:rPr>
          <w:rFonts w:hint="eastAsia" w:eastAsia="黑体"/>
          <w:bCs/>
          <w:color w:val="auto"/>
          <w:sz w:val="28"/>
          <w:szCs w:val="28"/>
          <w:highlight w:val="none"/>
        </w:rPr>
        <w:t>五、磋商</w:t>
      </w:r>
      <w:bookmarkEnd w:id="10"/>
      <w:r>
        <w:rPr>
          <w:rFonts w:eastAsia="黑体"/>
          <w:bCs/>
          <w:color w:val="auto"/>
          <w:sz w:val="28"/>
          <w:szCs w:val="28"/>
          <w:highlight w:val="none"/>
        </w:rPr>
        <w:t>与评标</w:t>
      </w:r>
    </w:p>
    <w:p>
      <w:pPr>
        <w:snapToGrid w:val="0"/>
        <w:spacing w:line="600" w:lineRule="exact"/>
        <w:ind w:firstLine="560" w:firstLineChars="200"/>
        <w:rPr>
          <w:rFonts w:eastAsia="仿宋_GB2312"/>
          <w:color w:val="auto"/>
          <w:sz w:val="28"/>
          <w:szCs w:val="28"/>
          <w:highlight w:val="none"/>
        </w:rPr>
      </w:pPr>
      <w:r>
        <w:rPr>
          <w:rFonts w:eastAsia="微软雅黑"/>
          <w:color w:val="auto"/>
          <w:sz w:val="28"/>
          <w:szCs w:val="28"/>
          <w:highlight w:val="none"/>
          <w:shd w:val="clear" w:color="auto" w:fill="FFFFFF"/>
        </w:rPr>
        <w:t>5.1</w:t>
      </w:r>
      <w:r>
        <w:rPr>
          <w:rFonts w:hint="eastAsia" w:ascii="仿宋_GB2312" w:hAnsi="仿宋_GB2312" w:eastAsia="仿宋_GB2312" w:cs="仿宋_GB2312"/>
          <w:color w:val="auto"/>
          <w:sz w:val="28"/>
          <w:szCs w:val="28"/>
          <w:highlight w:val="none"/>
        </w:rPr>
        <w:t>投标文件属下列情况之一的，应当在资格性、符合性检查时按照无效投标处理：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未交应交投标保证金的；</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未按照招标文件规定要求密封、签署、盖章的；</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联合体投标未附联合体各方共同投标协议的</w:t>
      </w:r>
      <w:r>
        <w:rPr>
          <w:rFonts w:hint="eastAsia" w:eastAsia="仿宋_GB2312"/>
          <w:color w:val="auto"/>
          <w:sz w:val="28"/>
          <w:szCs w:val="28"/>
          <w:highlight w:val="none"/>
        </w:rPr>
        <w:t>；</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4</w:t>
      </w:r>
      <w:r>
        <w:rPr>
          <w:rFonts w:hint="eastAsia" w:eastAsia="仿宋_GB2312"/>
          <w:color w:val="auto"/>
          <w:sz w:val="28"/>
          <w:szCs w:val="28"/>
          <w:highlight w:val="none"/>
        </w:rPr>
        <w:t xml:space="preserve">) </w:t>
      </w:r>
      <w:r>
        <w:rPr>
          <w:rFonts w:eastAsia="仿宋_GB2312"/>
          <w:color w:val="auto"/>
          <w:sz w:val="28"/>
          <w:szCs w:val="28"/>
          <w:highlight w:val="none"/>
        </w:rPr>
        <w:t>不符合法律、法规和招标文件中规定的其他实质性要求的。投标文件属下列情况之一的，应当在资格性、符合性检查时按照无效投标处理</w:t>
      </w:r>
      <w:bookmarkStart w:id="11" w:name="_Toc10608"/>
      <w:r>
        <w:rPr>
          <w:rFonts w:hint="eastAsia" w:eastAsia="仿宋_GB2312"/>
          <w:color w:val="auto"/>
          <w:sz w:val="28"/>
          <w:szCs w:val="28"/>
          <w:highlight w:val="none"/>
        </w:rPr>
        <w:t>。</w:t>
      </w:r>
      <w:r>
        <w:rPr>
          <w:rFonts w:eastAsia="仿宋_GB2312"/>
          <w:color w:val="auto"/>
          <w:sz w:val="28"/>
          <w:szCs w:val="28"/>
          <w:highlight w:val="none"/>
        </w:rPr>
        <w:t>5.</w:t>
      </w:r>
      <w:r>
        <w:rPr>
          <w:rFonts w:hint="eastAsia" w:eastAsia="仿宋_GB2312"/>
          <w:color w:val="auto"/>
          <w:sz w:val="28"/>
          <w:szCs w:val="28"/>
          <w:highlight w:val="none"/>
        </w:rPr>
        <w:t>2 开标</w:t>
      </w:r>
      <w:bookmarkEnd w:id="11"/>
      <w:r>
        <w:rPr>
          <w:rFonts w:hint="eastAsia" w:eastAsia="仿宋_GB2312"/>
          <w:color w:val="auto"/>
          <w:sz w:val="28"/>
          <w:szCs w:val="28"/>
          <w:highlight w:val="none"/>
        </w:rPr>
        <w:t>采购单位按第一章</w:t>
      </w:r>
      <w:r>
        <w:rPr>
          <w:rFonts w:eastAsia="仿宋_GB2312"/>
          <w:color w:val="auto"/>
          <w:sz w:val="28"/>
          <w:szCs w:val="28"/>
          <w:highlight w:val="none"/>
        </w:rPr>
        <w:t>“</w:t>
      </w:r>
      <w:r>
        <w:rPr>
          <w:rFonts w:hint="eastAsia" w:eastAsia="仿宋_GB2312"/>
          <w:color w:val="auto"/>
          <w:sz w:val="28"/>
          <w:szCs w:val="28"/>
          <w:highlight w:val="none"/>
        </w:rPr>
        <w:t>竞争性磋商邀请书</w:t>
      </w:r>
      <w:r>
        <w:rPr>
          <w:rFonts w:eastAsia="仿宋_GB2312"/>
          <w:color w:val="auto"/>
          <w:sz w:val="28"/>
          <w:szCs w:val="28"/>
          <w:highlight w:val="none"/>
        </w:rPr>
        <w:t>”</w:t>
      </w:r>
      <w:r>
        <w:rPr>
          <w:rFonts w:hint="eastAsia" w:eastAsia="仿宋_GB2312"/>
          <w:color w:val="auto"/>
          <w:sz w:val="28"/>
          <w:szCs w:val="28"/>
          <w:highlight w:val="none"/>
        </w:rPr>
        <w:t>中约定的磋商时间及地点组织参与磋商的</w:t>
      </w:r>
      <w:r>
        <w:rPr>
          <w:rFonts w:eastAsia="仿宋_GB2312"/>
          <w:color w:val="auto"/>
          <w:sz w:val="28"/>
          <w:szCs w:val="28"/>
          <w:highlight w:val="none"/>
        </w:rPr>
        <w:t>供应商</w:t>
      </w:r>
      <w:r>
        <w:rPr>
          <w:rFonts w:hint="eastAsia" w:eastAsia="仿宋_GB2312"/>
          <w:color w:val="auto"/>
          <w:sz w:val="28"/>
          <w:szCs w:val="28"/>
          <w:highlight w:val="none"/>
        </w:rPr>
        <w:t>召开开标会议，对本次磋商事项进行简要说明，并当众拆封磋商响应文件，审查</w:t>
      </w:r>
      <w:r>
        <w:rPr>
          <w:rFonts w:eastAsia="仿宋_GB2312"/>
          <w:color w:val="auto"/>
          <w:sz w:val="28"/>
          <w:szCs w:val="28"/>
          <w:highlight w:val="none"/>
        </w:rPr>
        <w:t>磋商</w:t>
      </w:r>
      <w:r>
        <w:rPr>
          <w:rFonts w:hint="eastAsia" w:eastAsia="仿宋_GB2312"/>
          <w:color w:val="auto"/>
          <w:sz w:val="28"/>
          <w:szCs w:val="28"/>
          <w:highlight w:val="none"/>
        </w:rPr>
        <w:t>供应商的相关资质。</w:t>
      </w:r>
    </w:p>
    <w:p>
      <w:pPr>
        <w:snapToGrid w:val="0"/>
        <w:spacing w:line="600" w:lineRule="exact"/>
        <w:ind w:firstLine="560" w:firstLineChars="200"/>
        <w:rPr>
          <w:rFonts w:eastAsia="仿宋_GB2312"/>
          <w:color w:val="auto"/>
          <w:sz w:val="28"/>
          <w:szCs w:val="28"/>
          <w:highlight w:val="none"/>
        </w:rPr>
      </w:pPr>
      <w:bookmarkStart w:id="12" w:name="_Toc3085"/>
      <w:r>
        <w:rPr>
          <w:rFonts w:eastAsia="仿宋_GB2312"/>
          <w:color w:val="auto"/>
          <w:sz w:val="28"/>
          <w:szCs w:val="28"/>
          <w:highlight w:val="none"/>
        </w:rPr>
        <w:t>5.</w:t>
      </w:r>
      <w:r>
        <w:rPr>
          <w:rFonts w:hint="eastAsia" w:eastAsia="仿宋_GB2312"/>
          <w:color w:val="auto"/>
          <w:sz w:val="28"/>
          <w:szCs w:val="28"/>
          <w:highlight w:val="none"/>
        </w:rPr>
        <w:t>3 磋商</w:t>
      </w:r>
      <w:bookmarkEnd w:id="12"/>
      <w:r>
        <w:rPr>
          <w:rFonts w:hint="eastAsia" w:eastAsia="仿宋_GB2312"/>
          <w:color w:val="auto"/>
          <w:sz w:val="28"/>
          <w:szCs w:val="28"/>
          <w:highlight w:val="none"/>
        </w:rPr>
        <w:t>采购单位成立磋商小组，按</w:t>
      </w:r>
      <w:r>
        <w:rPr>
          <w:rFonts w:eastAsia="仿宋_GB2312"/>
          <w:color w:val="auto"/>
          <w:sz w:val="28"/>
          <w:szCs w:val="28"/>
          <w:highlight w:val="none"/>
        </w:rPr>
        <w:t>磋商供应商</w:t>
      </w:r>
      <w:r>
        <w:rPr>
          <w:rFonts w:hint="eastAsia" w:eastAsia="仿宋_GB2312"/>
          <w:color w:val="auto"/>
          <w:sz w:val="28"/>
          <w:szCs w:val="28"/>
          <w:highlight w:val="none"/>
        </w:rPr>
        <w:t>的签到顺序与单一</w:t>
      </w:r>
      <w:r>
        <w:rPr>
          <w:rFonts w:eastAsia="仿宋_GB2312"/>
          <w:color w:val="auto"/>
          <w:sz w:val="28"/>
          <w:szCs w:val="28"/>
          <w:highlight w:val="none"/>
        </w:rPr>
        <w:t>磋商供应商</w:t>
      </w:r>
      <w:r>
        <w:rPr>
          <w:rFonts w:hint="eastAsia" w:eastAsia="仿宋_GB2312"/>
          <w:color w:val="auto"/>
          <w:sz w:val="28"/>
          <w:szCs w:val="28"/>
          <w:highlight w:val="none"/>
        </w:rPr>
        <w:t>分别就符合论坛执行等内容进行磋商。</w:t>
      </w:r>
    </w:p>
    <w:p>
      <w:pPr>
        <w:snapToGrid w:val="0"/>
        <w:spacing w:line="600" w:lineRule="exact"/>
        <w:ind w:firstLine="560" w:firstLineChars="200"/>
        <w:rPr>
          <w:color w:val="auto"/>
          <w:highlight w:val="none"/>
        </w:rPr>
      </w:pPr>
      <w:r>
        <w:rPr>
          <w:rFonts w:hint="eastAsia" w:eastAsia="仿宋_GB2312"/>
          <w:color w:val="auto"/>
          <w:sz w:val="28"/>
          <w:szCs w:val="28"/>
          <w:highlight w:val="none"/>
        </w:rPr>
        <w:t>磋商中，磋商的任何一方不得透露与磋商有关的其他供</w:t>
      </w:r>
      <w:r>
        <w:rPr>
          <w:rFonts w:eastAsia="仿宋_GB2312"/>
          <w:color w:val="auto"/>
          <w:sz w:val="28"/>
          <w:szCs w:val="28"/>
          <w:highlight w:val="none"/>
        </w:rPr>
        <w:t>磋商供应商</w:t>
      </w:r>
      <w:r>
        <w:rPr>
          <w:rFonts w:hint="eastAsia" w:eastAsia="仿宋_GB2312"/>
          <w:color w:val="auto"/>
          <w:sz w:val="28"/>
          <w:szCs w:val="28"/>
          <w:highlight w:val="none"/>
        </w:rPr>
        <w:t>的技术资料、价格和其他信息。</w:t>
      </w:r>
    </w:p>
    <w:p>
      <w:pPr>
        <w:snapToGrid w:val="0"/>
        <w:spacing w:line="600" w:lineRule="exact"/>
        <w:ind w:firstLine="560" w:firstLineChars="200"/>
        <w:rPr>
          <w:color w:val="auto"/>
          <w:highlight w:val="none"/>
        </w:rPr>
      </w:pPr>
      <w:r>
        <w:rPr>
          <w:rFonts w:hint="eastAsia" w:eastAsia="仿宋_GB2312"/>
          <w:color w:val="auto"/>
          <w:sz w:val="28"/>
          <w:szCs w:val="28"/>
          <w:highlight w:val="none"/>
        </w:rPr>
        <w:t>采购单位对磋商过程和重要磋商内容进行记录，磋商双方在磋商结果上签字确认。</w:t>
      </w:r>
    </w:p>
    <w:p>
      <w:pPr>
        <w:snapToGrid w:val="0"/>
        <w:spacing w:line="600" w:lineRule="exact"/>
        <w:ind w:firstLine="560" w:firstLineChars="200"/>
        <w:outlineLvl w:val="1"/>
        <w:rPr>
          <w:color w:val="auto"/>
          <w:highlight w:val="none"/>
        </w:rPr>
      </w:pPr>
      <w:bookmarkStart w:id="13" w:name="_Toc1440"/>
      <w:r>
        <w:rPr>
          <w:rFonts w:hint="eastAsia" w:eastAsia="黑体"/>
          <w:bCs/>
          <w:color w:val="auto"/>
          <w:sz w:val="28"/>
          <w:szCs w:val="28"/>
          <w:highlight w:val="none"/>
        </w:rPr>
        <w:t>六、确定成交</w:t>
      </w:r>
      <w:r>
        <w:rPr>
          <w:rFonts w:eastAsia="黑体"/>
          <w:bCs/>
          <w:color w:val="auto"/>
          <w:sz w:val="28"/>
          <w:szCs w:val="28"/>
          <w:highlight w:val="none"/>
        </w:rPr>
        <w:t>磋商供应商</w:t>
      </w:r>
      <w:r>
        <w:rPr>
          <w:rFonts w:hint="eastAsia" w:eastAsia="黑体"/>
          <w:bCs/>
          <w:color w:val="auto"/>
          <w:sz w:val="28"/>
          <w:szCs w:val="28"/>
          <w:highlight w:val="none"/>
        </w:rPr>
        <w:t>办法</w:t>
      </w:r>
      <w:bookmarkEnd w:id="13"/>
    </w:p>
    <w:p>
      <w:pPr>
        <w:snapToGrid w:val="0"/>
        <w:spacing w:line="600" w:lineRule="exact"/>
        <w:ind w:firstLine="560" w:firstLineChars="200"/>
        <w:rPr>
          <w:color w:val="auto"/>
          <w:highlight w:val="none"/>
        </w:rPr>
      </w:pPr>
      <w:r>
        <w:rPr>
          <w:rFonts w:eastAsia="仿宋_GB2312"/>
          <w:color w:val="auto"/>
          <w:sz w:val="28"/>
          <w:szCs w:val="28"/>
          <w:highlight w:val="none"/>
        </w:rPr>
        <w:t>6.1</w:t>
      </w:r>
      <w:r>
        <w:rPr>
          <w:rFonts w:hint="eastAsia" w:eastAsia="仿宋_GB2312"/>
          <w:color w:val="auto"/>
          <w:sz w:val="28"/>
          <w:szCs w:val="28"/>
          <w:highlight w:val="none"/>
        </w:rPr>
        <w:t>采购单位磋商小组根据符合论坛执行项目综合评分法确定成交</w:t>
      </w:r>
      <w:r>
        <w:rPr>
          <w:rFonts w:eastAsia="仿宋_GB2312"/>
          <w:color w:val="auto"/>
          <w:sz w:val="28"/>
          <w:szCs w:val="28"/>
          <w:highlight w:val="none"/>
        </w:rPr>
        <w:t>磋商供应商</w:t>
      </w:r>
      <w:r>
        <w:rPr>
          <w:rFonts w:hint="eastAsia" w:eastAsia="仿宋_GB2312"/>
          <w:color w:val="auto"/>
          <w:sz w:val="28"/>
          <w:szCs w:val="28"/>
          <w:highlight w:val="none"/>
        </w:rPr>
        <w:t>，并将评标结果按采购单位的审批流程报批。</w:t>
      </w:r>
    </w:p>
    <w:p>
      <w:pPr>
        <w:snapToGrid w:val="0"/>
        <w:spacing w:line="600" w:lineRule="exact"/>
        <w:ind w:firstLine="560" w:firstLineChars="200"/>
        <w:rPr>
          <w:color w:val="auto"/>
          <w:highlight w:val="none"/>
        </w:rPr>
      </w:pPr>
      <w:r>
        <w:rPr>
          <w:rFonts w:eastAsia="仿宋_GB2312"/>
          <w:color w:val="auto"/>
          <w:sz w:val="28"/>
          <w:szCs w:val="28"/>
          <w:highlight w:val="none"/>
        </w:rPr>
        <w:t>6.2</w:t>
      </w:r>
      <w:r>
        <w:rPr>
          <w:rFonts w:hint="eastAsia" w:eastAsia="仿宋_GB2312"/>
          <w:color w:val="auto"/>
          <w:sz w:val="28"/>
          <w:szCs w:val="28"/>
          <w:highlight w:val="none"/>
        </w:rPr>
        <w:t>采购单位在评标结果批复后向参与磋商的</w:t>
      </w:r>
      <w:r>
        <w:rPr>
          <w:rFonts w:eastAsia="仿宋_GB2312"/>
          <w:color w:val="auto"/>
          <w:sz w:val="28"/>
          <w:szCs w:val="28"/>
          <w:highlight w:val="none"/>
        </w:rPr>
        <w:t>磋商供应商</w:t>
      </w:r>
      <w:r>
        <w:rPr>
          <w:rFonts w:hint="eastAsia" w:eastAsia="仿宋_GB2312"/>
          <w:color w:val="auto"/>
          <w:sz w:val="28"/>
          <w:szCs w:val="28"/>
          <w:highlight w:val="none"/>
        </w:rPr>
        <w:t>发送评标结果告知函。</w:t>
      </w:r>
    </w:p>
    <w:p>
      <w:pPr>
        <w:snapToGrid w:val="0"/>
        <w:spacing w:line="600" w:lineRule="exact"/>
        <w:ind w:firstLine="560" w:firstLineChars="200"/>
        <w:outlineLvl w:val="1"/>
        <w:rPr>
          <w:color w:val="auto"/>
          <w:highlight w:val="none"/>
        </w:rPr>
      </w:pPr>
      <w:bookmarkStart w:id="14" w:name="_Toc20377"/>
      <w:r>
        <w:rPr>
          <w:rFonts w:hint="eastAsia" w:eastAsia="黑体"/>
          <w:bCs/>
          <w:color w:val="auto"/>
          <w:sz w:val="28"/>
          <w:szCs w:val="28"/>
          <w:highlight w:val="none"/>
        </w:rPr>
        <w:t>七、签订合同</w:t>
      </w:r>
      <w:bookmarkEnd w:id="14"/>
    </w:p>
    <w:p>
      <w:pPr>
        <w:snapToGrid w:val="0"/>
        <w:spacing w:line="600" w:lineRule="exact"/>
        <w:ind w:firstLine="562" w:firstLineChars="200"/>
        <w:rPr>
          <w:rFonts w:hint="eastAsia"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w:t>
      </w:r>
      <w:r>
        <w:rPr>
          <w:rFonts w:hint="eastAsia" w:ascii="仿宋_GB2312" w:hAnsi="仿宋_GB2312" w:eastAsia="仿宋_GB2312" w:cs="仿宋_GB2312"/>
          <w:b/>
          <w:bCs/>
          <w:caps/>
          <w:color w:val="auto"/>
          <w:sz w:val="28"/>
          <w:szCs w:val="28"/>
          <w:highlight w:val="none"/>
        </w:rPr>
        <w:t>.</w:t>
      </w:r>
      <w:r>
        <w:rPr>
          <w:rFonts w:ascii="仿宋_GB2312" w:hAnsi="仿宋_GB2312" w:eastAsia="仿宋_GB2312" w:cs="仿宋_GB2312"/>
          <w:b/>
          <w:bCs/>
          <w:caps/>
          <w:color w:val="auto"/>
          <w:sz w:val="28"/>
          <w:szCs w:val="28"/>
          <w:highlight w:val="none"/>
        </w:rPr>
        <w:t>1</w:t>
      </w:r>
      <w:r>
        <w:rPr>
          <w:rFonts w:hint="eastAsia" w:ascii="仿宋_GB2312" w:hAnsi="仿宋_GB2312" w:eastAsia="仿宋_GB2312" w:cs="仿宋_GB2312"/>
          <w:b/>
          <w:bCs/>
          <w:caps/>
          <w:color w:val="auto"/>
          <w:sz w:val="28"/>
          <w:szCs w:val="28"/>
          <w:highlight w:val="none"/>
        </w:rPr>
        <w:t>成交通知</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7.1.1采购单位在三个工作日内将竞标结果报告中推荐的排名第一的成交候选供应商确定为成交供应商。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7.1.2采购单位在网页上发布成交公告。</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7.1.3采购单位无义务向未成交的供应商解释未成交原因和退还响应文件。</w:t>
      </w:r>
    </w:p>
    <w:p>
      <w:pPr>
        <w:pStyle w:val="12"/>
        <w:snapToGrid w:val="0"/>
        <w:spacing w:line="600" w:lineRule="exact"/>
        <w:ind w:firstLine="420"/>
        <w:rPr>
          <w:color w:val="auto"/>
          <w:sz w:val="28"/>
          <w:szCs w:val="28"/>
          <w:highlight w:val="none"/>
        </w:rPr>
      </w:pPr>
      <w:r>
        <w:rPr>
          <w:rFonts w:ascii="仿宋_GB2312" w:hAnsi="仿宋_GB2312" w:eastAsia="仿宋_GB2312" w:cs="仿宋_GB2312"/>
          <w:b/>
          <w:bCs/>
          <w:caps/>
          <w:color w:val="auto"/>
          <w:sz w:val="28"/>
          <w:szCs w:val="28"/>
          <w:highlight w:val="none"/>
        </w:rPr>
        <w:t>7.2合同授予标准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合同将授予被确定为实质上响应</w:t>
      </w:r>
      <w:r>
        <w:rPr>
          <w:rFonts w:hint="eastAsia" w:eastAsia="仿宋_GB2312"/>
          <w:color w:val="auto"/>
          <w:sz w:val="28"/>
          <w:szCs w:val="28"/>
          <w:highlight w:val="none"/>
        </w:rPr>
        <w:t>采购方</w:t>
      </w:r>
      <w:r>
        <w:rPr>
          <w:rFonts w:eastAsia="仿宋_GB2312"/>
          <w:color w:val="auto"/>
          <w:sz w:val="28"/>
          <w:szCs w:val="28"/>
          <w:highlight w:val="none"/>
        </w:rPr>
        <w:t>需求，具备履行合同能力，成交结果报告中推荐的排名第一的成交候选供应商。</w:t>
      </w:r>
    </w:p>
    <w:p>
      <w:pPr>
        <w:pStyle w:val="12"/>
        <w:snapToGrid w:val="0"/>
        <w:spacing w:line="600" w:lineRule="exact"/>
        <w:ind w:firstLine="420"/>
        <w:rPr>
          <w:rFonts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7.3签订合同</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7.3.1成交供应商应及时与</w:t>
      </w:r>
      <w:r>
        <w:rPr>
          <w:rFonts w:hint="eastAsia" w:eastAsia="仿宋_GB2312"/>
          <w:color w:val="auto"/>
          <w:sz w:val="28"/>
          <w:szCs w:val="28"/>
          <w:highlight w:val="none"/>
        </w:rPr>
        <w:t>采购方</w:t>
      </w:r>
      <w:r>
        <w:rPr>
          <w:rFonts w:eastAsia="仿宋_GB2312"/>
          <w:color w:val="auto"/>
          <w:sz w:val="28"/>
          <w:szCs w:val="28"/>
          <w:highlight w:val="none"/>
        </w:rPr>
        <w:t>签订合同。</w:t>
      </w:r>
    </w:p>
    <w:p>
      <w:pPr>
        <w:snapToGrid w:val="0"/>
        <w:spacing w:line="60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7.3.2成交供应商因不可抗力或者自身原因不能履行合同的，</w:t>
      </w:r>
      <w:r>
        <w:rPr>
          <w:rFonts w:hint="eastAsia" w:eastAsia="仿宋_GB2312"/>
          <w:color w:val="auto"/>
          <w:sz w:val="28"/>
          <w:szCs w:val="28"/>
          <w:highlight w:val="none"/>
        </w:rPr>
        <w:t>采购方</w:t>
      </w:r>
      <w:r>
        <w:rPr>
          <w:rFonts w:eastAsia="仿宋_GB2312"/>
          <w:color w:val="auto"/>
          <w:sz w:val="28"/>
          <w:szCs w:val="28"/>
          <w:highlight w:val="none"/>
        </w:rPr>
        <w:t>可</w:t>
      </w:r>
      <w:r>
        <w:rPr>
          <w:rFonts w:hint="eastAsia" w:eastAsia="仿宋_GB2312"/>
          <w:color w:val="auto"/>
          <w:sz w:val="28"/>
          <w:szCs w:val="28"/>
          <w:highlight w:val="none"/>
        </w:rPr>
        <w:t>以与排名第二的成交候选供应商签订合同，以此类推。</w:t>
      </w:r>
    </w:p>
    <w:p>
      <w:pPr>
        <w:pStyle w:val="31"/>
        <w:snapToGrid w:val="0"/>
        <w:spacing w:line="600" w:lineRule="exact"/>
        <w:rPr>
          <w:color w:val="auto"/>
          <w:highlight w:val="none"/>
        </w:rPr>
        <w:sectPr>
          <w:footerReference r:id="rId10" w:type="default"/>
          <w:pgSz w:w="11906" w:h="16838"/>
          <w:pgMar w:top="1418" w:right="1418" w:bottom="1418" w:left="1418" w:header="851" w:footer="992" w:gutter="0"/>
          <w:pgNumType w:start="1"/>
          <w:cols w:space="720" w:num="1"/>
          <w:docGrid w:type="lines" w:linePitch="312" w:charSpace="0"/>
        </w:sectPr>
      </w:pPr>
    </w:p>
    <w:p>
      <w:pPr>
        <w:widowControl/>
        <w:ind w:firstLine="2530" w:firstLineChars="900"/>
        <w:rPr>
          <w:rFonts w:hint="eastAsia" w:ascii="仿宋_GB2312" w:hAnsi="仿宋_GB2312" w:eastAsia="仿宋_GB2312" w:cs="仿宋_GB2312"/>
          <w:b/>
          <w:color w:val="auto"/>
          <w:kern w:val="0"/>
          <w:sz w:val="28"/>
          <w:szCs w:val="28"/>
          <w:highlight w:val="none"/>
          <w:lang w:bidi="ar"/>
        </w:rPr>
      </w:pPr>
      <w:r>
        <w:rPr>
          <w:rFonts w:hint="eastAsia" w:ascii="仿宋_GB2312" w:hAnsi="仿宋_GB2312" w:eastAsia="仿宋_GB2312" w:cs="仿宋_GB2312"/>
          <w:b/>
          <w:color w:val="auto"/>
          <w:kern w:val="0"/>
          <w:sz w:val="28"/>
          <w:szCs w:val="28"/>
          <w:highlight w:val="none"/>
          <w:lang w:bidi="ar"/>
        </w:rPr>
        <w:t>采购项目合同验收书（格式）</w:t>
      </w:r>
    </w:p>
    <w:p>
      <w:pPr>
        <w:pStyle w:val="31"/>
        <w:rPr>
          <w:rFonts w:hint="eastAsia"/>
          <w:color w:val="auto"/>
          <w:highlight w:val="none"/>
        </w:rPr>
      </w:pPr>
    </w:p>
    <w:p>
      <w:pPr>
        <w:widowControl/>
        <w:rPr>
          <w:rFonts w:hint="eastAsia" w:ascii="仿宋_GB2312" w:hAnsi="仿宋_GB2312" w:eastAsia="仿宋_GB2312" w:cs="仿宋_GB2312"/>
          <w:color w:val="auto"/>
          <w:kern w:val="0"/>
          <w:sz w:val="24"/>
          <w:highlight w:val="none"/>
        </w:rPr>
      </w:pPr>
      <w:r>
        <w:rPr>
          <w:rFonts w:ascii="仿宋_GB2312" w:hAnsi="仿宋_GB2312" w:eastAsia="仿宋_GB2312" w:cs="仿宋_GB2312"/>
          <w:b/>
          <w:color w:val="auto"/>
          <w:kern w:val="0"/>
          <w:sz w:val="28"/>
          <w:szCs w:val="28"/>
          <w:highlight w:val="none"/>
          <w:lang w:bidi="ar"/>
        </w:rPr>
        <w:t xml:space="preserve">    </w:t>
      </w:r>
      <w:r>
        <w:rPr>
          <w:rFonts w:hint="eastAsia" w:ascii="仿宋_GB2312" w:hAnsi="仿宋_GB2312" w:eastAsia="仿宋_GB2312" w:cs="仿宋_GB2312"/>
          <w:color w:val="auto"/>
          <w:kern w:val="0"/>
          <w:sz w:val="24"/>
          <w:highlight w:val="none"/>
          <w:lang w:bidi="ar"/>
        </w:rPr>
        <w:t>根据采购项目（</w:t>
      </w:r>
      <w:r>
        <w:rPr>
          <w:rFonts w:hint="eastAsia" w:ascii="仿宋_GB2312" w:hAnsi="仿宋_GB2312" w:eastAsia="仿宋_GB2312" w:cs="仿宋_GB2312"/>
          <w:color w:val="auto"/>
          <w:kern w:val="0"/>
          <w:sz w:val="24"/>
          <w:highlight w:val="none"/>
          <w:u w:val="single"/>
          <w:lang w:bidi="ar"/>
        </w:rPr>
        <w:t>采购合同编号：</w:t>
      </w:r>
      <w:r>
        <w:rPr>
          <w:rFonts w:hint="eastAsia" w:ascii="仿宋_GB2312" w:hAnsi="仿宋_GB2312" w:eastAsia="仿宋_GB2312" w:cs="仿宋_GB2312"/>
          <w:color w:val="auto"/>
          <w:kern w:val="0"/>
          <w:sz w:val="24"/>
          <w:highlight w:val="none"/>
          <w:u w:val="single"/>
          <w:lang w:bidi="ar"/>
        </w:rPr>
        <w:softHyphen/>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）的约定，我单位对（</w:t>
      </w:r>
      <w:r>
        <w:rPr>
          <w:rFonts w:hint="eastAsia" w:ascii="仿宋_GB2312" w:hAnsi="仿宋_GB2312" w:eastAsia="仿宋_GB2312" w:cs="仿宋_GB2312"/>
          <w:color w:val="auto"/>
          <w:kern w:val="0"/>
          <w:sz w:val="24"/>
          <w:highlight w:val="none"/>
          <w:u w:val="single"/>
          <w:lang w:bidi="ar"/>
        </w:rPr>
        <w:t xml:space="preserve">  项目名称   </w:t>
      </w:r>
      <w:r>
        <w:rPr>
          <w:rFonts w:hint="eastAsia" w:ascii="仿宋_GB2312" w:hAnsi="仿宋_GB2312" w:eastAsia="仿宋_GB2312" w:cs="仿宋_GB2312"/>
          <w:color w:val="auto"/>
          <w:kern w:val="0"/>
          <w:sz w:val="24"/>
          <w:highlight w:val="none"/>
          <w:lang w:bidi="ar"/>
        </w:rPr>
        <w:t>）采购项目中标（或成交）供应商（</w:t>
      </w:r>
      <w:r>
        <w:rPr>
          <w:rFonts w:hint="eastAsia" w:ascii="仿宋_GB2312" w:hAnsi="仿宋_GB2312" w:eastAsia="仿宋_GB2312" w:cs="仿宋_GB2312"/>
          <w:color w:val="auto"/>
          <w:kern w:val="0"/>
          <w:sz w:val="24"/>
          <w:highlight w:val="none"/>
          <w:u w:val="single"/>
          <w:lang w:bidi="ar"/>
        </w:rPr>
        <w:t xml:space="preserve">            公司名称              </w:t>
      </w:r>
      <w:r>
        <w:rPr>
          <w:rFonts w:hint="eastAsia" w:ascii="仿宋_GB2312" w:hAnsi="仿宋_GB2312" w:eastAsia="仿宋_GB2312" w:cs="仿宋_GB2312"/>
          <w:color w:val="auto"/>
          <w:kern w:val="0"/>
          <w:sz w:val="24"/>
          <w:highlight w:val="none"/>
          <w:lang w:bidi="ar"/>
        </w:rPr>
        <w:t>）提供的货物（或项目、服务）进行了验收，验收情况如下：</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8"/>
        <w:gridCol w:w="2302"/>
        <w:gridCol w:w="948"/>
        <w:gridCol w:w="2503"/>
        <w:gridCol w:w="205"/>
        <w:gridCol w:w="796"/>
        <w:gridCol w:w="10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5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验收方式：</w:t>
            </w:r>
          </w:p>
        </w:tc>
        <w:tc>
          <w:tcPr>
            <w:tcW w:w="5523"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序号</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名  称</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货物型号规格、标准及配置等</w:t>
            </w:r>
          </w:p>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（或服务内容、标准）</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数量</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00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        计</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实际供货日期</w:t>
            </w: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5" w:firstLineChars="19"/>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合同交货验收日期</w:t>
            </w: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590" w:right="0" w:firstLine="480" w:firstLineChars="200"/>
              <w:jc w:val="left"/>
              <w:rPr>
                <w:rFonts w:hint="eastAsia" w:ascii="仿宋_GB2312" w:hAnsi="仿宋_GB2312" w:eastAsia="仿宋_GB2312" w:cs="仿宋_GB2312"/>
                <w:color w:val="auto"/>
                <w:kern w:val="0"/>
                <w:sz w:val="24"/>
                <w:highlight w:val="none"/>
              </w:rPr>
            </w:pP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24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验收具体内容</w:t>
            </w:r>
          </w:p>
        </w:tc>
        <w:tc>
          <w:tcPr>
            <w:tcW w:w="782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bidi="ar"/>
              </w:rPr>
              <w:t>（应</w:t>
            </w:r>
            <w:r>
              <w:rPr>
                <w:rFonts w:hint="eastAsia" w:ascii="仿宋_GB2312" w:hAnsi="仿宋_GB2312" w:eastAsia="仿宋_GB2312" w:cs="仿宋_GB2312"/>
                <w:color w:val="auto"/>
                <w:kern w:val="0"/>
                <w:sz w:val="24"/>
                <w:highlight w:val="none"/>
                <w:lang w:bidi="ar"/>
              </w:rPr>
              <w:t>按采购合同、采购文件、投标响应文件及验收方案等进行验收；并核对</w:t>
            </w:r>
            <w:r>
              <w:rPr>
                <w:rFonts w:hint="eastAsia" w:ascii="仿宋_GB2312" w:hAnsi="仿宋_GB2312" w:eastAsia="仿宋_GB2312" w:cs="仿宋_GB2312"/>
                <w:color w:val="auto"/>
                <w:sz w:val="24"/>
                <w:highlight w:val="none"/>
                <w:lang w:bidi="ar"/>
              </w:rPr>
              <w:t>中标或者成交供应商在服务等方面是否违反合同约定或服务规范要求、提供的质量保证证明材料是否齐全、是否达到合同约定等</w:t>
            </w:r>
            <w:r>
              <w:rPr>
                <w:rFonts w:hint="eastAsia" w:ascii="仿宋_GB2312" w:hAnsi="仿宋_GB2312" w:eastAsia="仿宋_GB2312" w:cs="仿宋_GB2312"/>
                <w:color w:val="auto"/>
                <w:kern w:val="0"/>
                <w:sz w:val="24"/>
                <w:highlight w:val="none"/>
                <w:lang w:bidi="ar"/>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124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验收小组意见</w:t>
            </w:r>
          </w:p>
        </w:tc>
        <w:tc>
          <w:tcPr>
            <w:tcW w:w="7825" w:type="dxa"/>
            <w:gridSpan w:val="6"/>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6" w:hRule="atLeast"/>
          <w:jc w:val="center"/>
        </w:trPr>
        <w:tc>
          <w:tcPr>
            <w:tcW w:w="124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p>
        </w:tc>
        <w:tc>
          <w:tcPr>
            <w:tcW w:w="7825" w:type="dxa"/>
            <w:gridSpan w:val="6"/>
            <w:tcBorders>
              <w:top w:val="single" w:color="auto" w:sz="4" w:space="0"/>
              <w:left w:val="nil"/>
              <w:bottom w:val="single" w:color="auto" w:sz="8" w:space="0"/>
              <w:right w:val="single" w:color="auto" w:sz="8" w:space="0"/>
            </w:tcBorders>
            <w:noWrap w:val="0"/>
            <w:vAlign w:val="center"/>
          </w:tcPr>
          <w:p>
            <w:pPr>
              <w:keepNext w:val="0"/>
              <w:keepLines w:val="0"/>
              <w:suppressLineNumbers w:val="0"/>
              <w:spacing w:before="100" w:beforeAutospacing="1" w:after="100" w:afterAutospacing="1" w:line="320" w:lineRule="exact"/>
              <w:ind w:left="0" w:right="0" w:firstLine="96" w:firstLineChars="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有异议的意见和说明理由：</w:t>
            </w:r>
          </w:p>
          <w:p>
            <w:pPr>
              <w:keepNext w:val="0"/>
              <w:keepLines w:val="0"/>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5"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监督人员或其他相关人员签字：</w:t>
            </w:r>
          </w:p>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498" w:type="dxa"/>
            <w:gridSpan w:val="3"/>
            <w:tcBorders>
              <w:top w:val="single" w:color="auto" w:sz="8" w:space="0"/>
              <w:left w:val="single" w:color="auto" w:sz="8" w:space="0"/>
              <w:bottom w:val="single" w:color="auto"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中标或者成交供应商负责人签字或盖章：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c>
          <w:tcPr>
            <w:tcW w:w="457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采购方或受托机构的意见（盖章）：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r>
    </w:tbl>
    <w:p>
      <w:pPr>
        <w:widowControl/>
        <w:jc w:val="left"/>
        <w:rPr>
          <w:rFonts w:hint="eastAsia" w:ascii="仿宋_GB2312" w:hAnsi="仿宋_GB2312" w:eastAsia="仿宋_GB2312" w:cs="仿宋_GB2312"/>
          <w:color w:val="auto"/>
          <w:spacing w:val="-10"/>
          <w:kern w:val="0"/>
          <w:sz w:val="24"/>
          <w:highlight w:val="none"/>
          <w:lang w:bidi="ar"/>
        </w:rPr>
      </w:pPr>
      <w:r>
        <w:rPr>
          <w:rFonts w:hint="eastAsia" w:ascii="仿宋_GB2312" w:hAnsi="仿宋_GB2312" w:eastAsia="仿宋_GB2312" w:cs="仿宋_GB2312"/>
          <w:color w:val="auto"/>
          <w:spacing w:val="-10"/>
          <w:kern w:val="0"/>
          <w:sz w:val="24"/>
          <w:highlight w:val="none"/>
          <w:lang w:bidi="ar"/>
        </w:rPr>
        <w:t>备注：本报告单一式2份（采购单位1份、供应商1份）。</w:t>
      </w:r>
    </w:p>
    <w:p>
      <w:pPr>
        <w:pStyle w:val="31"/>
        <w:rPr>
          <w:rFonts w:hint="eastAsia"/>
          <w:color w:val="auto"/>
          <w:highlight w:val="none"/>
        </w:rPr>
      </w:pPr>
    </w:p>
    <w:p>
      <w:pPr>
        <w:pStyle w:val="12"/>
        <w:snapToGrid w:val="0"/>
        <w:spacing w:before="120" w:after="120"/>
        <w:rPr>
          <w:rFonts w:hint="eastAsia" w:ascii="仿宋_GB2312" w:hAnsi="仿宋_GB2312" w:eastAsia="仿宋_GB2312" w:cs="仿宋_GB2312"/>
          <w:color w:val="auto"/>
          <w:kern w:val="0"/>
          <w:sz w:val="28"/>
          <w:szCs w:val="28"/>
          <w:highlight w:val="none"/>
        </w:rPr>
        <w:sectPr>
          <w:footerReference r:id="rId11" w:type="default"/>
          <w:pgSz w:w="11906" w:h="16838"/>
          <w:pgMar w:top="1418" w:right="1418" w:bottom="1418" w:left="1418" w:header="851" w:footer="992" w:gutter="0"/>
          <w:pgNumType w:start="12"/>
          <w:cols w:space="720" w:num="1"/>
          <w:docGrid w:type="lines" w:linePitch="312" w:charSpace="0"/>
        </w:sectPr>
      </w:pPr>
    </w:p>
    <w:p>
      <w:pPr>
        <w:spacing w:before="312" w:beforeLines="100" w:after="312" w:afterLines="100" w:line="300" w:lineRule="auto"/>
        <w:jc w:val="center"/>
        <w:outlineLvl w:val="0"/>
        <w:rPr>
          <w:b/>
          <w:color w:val="auto"/>
          <w:sz w:val="32"/>
          <w:szCs w:val="32"/>
          <w:highlight w:val="none"/>
        </w:rPr>
      </w:pPr>
      <w:bookmarkStart w:id="15" w:name="_Toc1629"/>
      <w:r>
        <w:rPr>
          <w:rFonts w:hint="eastAsia" w:ascii="宋体" w:hAnsi="宋体" w:cs="宋体"/>
          <w:b/>
          <w:color w:val="auto"/>
          <w:sz w:val="32"/>
          <w:szCs w:val="32"/>
          <w:highlight w:val="none"/>
        </w:rPr>
        <w:t>第</w:t>
      </w:r>
      <w:r>
        <w:rPr>
          <w:rFonts w:hint="eastAsia"/>
          <w:b/>
          <w:color w:val="auto"/>
          <w:sz w:val="32"/>
          <w:szCs w:val="32"/>
          <w:highlight w:val="none"/>
        </w:rPr>
        <w:t>四</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b/>
          <w:color w:val="auto"/>
          <w:sz w:val="32"/>
          <w:szCs w:val="32"/>
          <w:highlight w:val="none"/>
        </w:rPr>
        <w:t>评定成交的标准</w:t>
      </w:r>
      <w:bookmarkEnd w:id="15"/>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一、评标原则</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（一）磋商小组构成：本项目的磋商小组由采购方代表和有关技术、经济等方面的专家组成。成员人数应当为3人以上（含3人）单数。</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（二）评标依据：</w:t>
      </w:r>
      <w:r>
        <w:rPr>
          <w:rFonts w:hint="eastAsia" w:ascii="仿宋_GB2312" w:hAnsi="仿宋_GB2312" w:eastAsia="仿宋_GB2312" w:cs="仿宋_GB2312"/>
          <w:color w:val="auto"/>
          <w:sz w:val="24"/>
          <w:highlight w:val="none"/>
        </w:rPr>
        <w:t>磋商小组将以竞争性磋商文件和响应文件为评审依据，对供应商的最后报价、货物性能、售后服务、信誉、业绩、政策功能等方面内容按百分制打分。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（三）评标方式：以封闭方式进行。</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二、评标方法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（一）磋商小组根据竞争性磋商文件要求对各供应商的资格和响应文件的完整性、符合性等进行审查，以确定是否对竞争性磋商文件的实质性要求作出响应。</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（二）对进入详评的，采用百分制综合评分法。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（三）计分办法（按四舍五入取至百分位）：</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1、价格分</w:t>
      </w:r>
      <w:r>
        <w:rPr>
          <w:rFonts w:hint="eastAsia" w:ascii="仿宋_GB2312" w:hAnsi="仿宋_GB2312" w:eastAsia="仿宋_GB2312" w:cs="仿宋_GB2312"/>
          <w:b/>
          <w:color w:val="auto"/>
          <w:sz w:val="24"/>
          <w:highlight w:val="none"/>
        </w:rPr>
        <w:t>……………………………………………………………………………15分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（1）评标价为供应商的磋商报价进行政策性扣除后的价格，评标价只是作为评标时使用。最终成交人的成交金额＝最终磋商报价。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政策性扣除计算方法：供应商符合小型、微型企业或监狱企业条件的，其磋商报价将按相应比例进行扣除，用扣除后的价格参与评审（计算价格分）。小型、微型企业组成联合体参加磋商的，联合体视同为小型、微型企业享受扶持政策。</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按照《财政部、司法部关于政府采购支持监狱企业发展有关问题的通知》（财库〔2014〕68号）之规定，监狱企业视同小型、微型企业。</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政府采购促进中小企业发展暂行办法》（财库[2011]181号）第五条的规定：对小型或微型企业产品的价格给予10%的扣除，用扣除后的价格为评标报价参与评审，即：评标报价=最终磋商价×（1-10%）。（供应商须如实填写中小企业声明函，并对声明的真实性负责）。</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大中型企业和其他自然人、法人或者其他组织与小型、微型企业组成联合体磋商，联合体协议中约定小型、微型企业的协议合同金额占到联合体协议合同总金额30%以上的，联合体投标价给予2%的扣除，扣除后的价格为评标价，即评标报价=最终磋商价×（1-2%）；除上述情况外，评标报价=最终磋商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w:t>
      </w:r>
    </w:p>
    <w:p>
      <w:pPr>
        <w:snapToGrid w:val="0"/>
        <w:spacing w:line="360" w:lineRule="auto"/>
        <w:ind w:firstLine="487" w:firstLineChars="20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（2）以进入综合评分环节的最低的评标报价为基准价，基准价报价得分为15分。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（3）某供应商报价分公式：某供应商价格分＝基准价/某供应商评标报价金额×15分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2、技术分</w:t>
      </w:r>
      <w:r>
        <w:rPr>
          <w:rFonts w:hint="eastAsia" w:ascii="仿宋_GB2312" w:hAnsi="仿宋_GB2312" w:eastAsia="仿宋_GB2312" w:cs="仿宋_GB2312"/>
          <w:b/>
          <w:color w:val="auto"/>
          <w:sz w:val="24"/>
          <w:highlight w:val="none"/>
        </w:rPr>
        <w:t>……………………………………………………………………………60分</w:t>
      </w:r>
    </w:p>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2.1服务方案分（满分20分）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一档（7分）：服务方案简单，有对服务内容的理解（服务目标理解、服务的重点和难点分析）；制定工作方案，服务实施的技术力量和人力资源安排基本满足要求，技术负责人具有中级工程师证书， 项目管理人员中1人具有PMP证书。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bookmarkStart w:id="16" w:name="_Hlk80689052"/>
      <w:r>
        <w:rPr>
          <w:rFonts w:hint="eastAsia" w:ascii="仿宋_GB2312" w:hAnsi="仿宋_GB2312" w:eastAsia="仿宋_GB2312" w:cs="仿宋_GB2312"/>
          <w:color w:val="auto"/>
          <w:sz w:val="24"/>
          <w:highlight w:val="none"/>
        </w:rPr>
        <w:t>二档（13分）</w:t>
      </w:r>
      <w:bookmarkEnd w:id="16"/>
      <w:r>
        <w:rPr>
          <w:rFonts w:hint="eastAsia" w:ascii="仿宋_GB2312" w:hAnsi="仿宋_GB2312" w:eastAsia="仿宋_GB2312" w:cs="仿宋_GB2312"/>
          <w:color w:val="auto"/>
          <w:sz w:val="24"/>
          <w:highlight w:val="none"/>
        </w:rPr>
        <w:t>：服务方案较详细，对服务内容的理解（服务目标理解、服务的重点和难点分析）有合理性；制定合理可行的工作方案（工作流程、沟通协调机制、质量保证措施）；保证服务实施的技术力量和人力资源安排满足项目实施要求，技术负责人具有高级系统规划与管理师与中级工程师证书，项目管理人员中2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档（20分）：服务方案详实，对服务内容的理解（服务目标理解、服务的重点和难点分析）透彻到位；制定完整可行的工作方案（工作流程、沟通协调机制、质量保证措施、采购方对服务不满意的解决方案、相关违约承诺），工作方案优良，提供专项方案；保证项目实施的技术力量和人力资源安排充足，技术负责人具有高级系统规划与管理师、中级及以上工程师证书，项目管理人员中3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 属代缴情况时，还应提供相关人事管理及社保缴纳说明材料，否则不得分。</w:t>
      </w:r>
    </w:p>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2.2实施方案分（满分20分）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档（7分）：有项目实施组织机构，具有合理的安装调试方法，制定运营管理制度，具有进度计划、项目实施管理文档计划，项目实施方案简单；具有运营管理提供5人或以上的实施团队，项目经理具有通信类或计算机类高级工程师证书，且实施人员中2人及以上具有通信类或计算机类中级工程师证书；满足以上相关要求的，进入一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档（13分）：有项目实施组织机构，具有合理的安装调试方法，运营管理制度合理并符合规范要求，具有进度计划、项目实施管理文档计划、安全及质量保证措施，提供合理的应急处理方案，项目实施方案较详细；提供10人或以上的实施团队，项目经理具有通信类或计算机类高级工程师、IT服务项目经理（ITSS）资质证书，且实施人员中4人具有通信类或计算机类高级工程师证书（至少1人为教授级高级工程师），2人具有注册信息安全管理人员（CISO）资质证书；满足以上相关要求的，进入二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档（20分）：有项目实施组织机构，具有合理的安装调试方法，运营管理制度科学合理、全面、规范，具有详细的进度计划、项目实施管理文档计划、安全及质量保证措施，提供完整的应急处理方案、有保障措施，项目实施方案阐述详细；提供20人或以上的实施团队，项目经理具有通信类或计算机类高级工程师、IT服务项目经理（ITSS）及注册信息安全管理人员（CISO）资质证书，且实施人员中8人及以上具有通信类或计算机类高级工程师证书（至少1人为教授级高级工程师），4人具有注册信息安全管理人员（CISO）资质证书；满足以上相关要求的，进入本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 属代缴情况时，还应提供相关人事管理及社保缴纳说明材料，否则不得分。</w:t>
      </w:r>
    </w:p>
    <w:p>
      <w:pPr>
        <w:pStyle w:val="6"/>
        <w:snapToGrid w:val="0"/>
        <w:spacing w:after="0" w:line="360" w:lineRule="auto"/>
        <w:ind w:left="0" w:leftChars="0"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2.3售后服务方案分（满分20分）：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一档（7分）</w:t>
      </w:r>
      <w:r>
        <w:rPr>
          <w:rFonts w:hint="eastAsia" w:ascii="仿宋_GB2312" w:hAnsi="仿宋_GB2312" w:eastAsia="仿宋_GB2312" w:cs="仿宋_GB2312"/>
          <w:color w:val="auto"/>
          <w:sz w:val="24"/>
          <w:highlight w:val="none"/>
        </w:rPr>
        <w:t>：售后服务方案基本满足招标文件要求，服务内容、保障措施简单，供应商为本项目提供的售后服务人员5人及以上具备助理工程师及以上职称或职业认证资格证书。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二档（13分）</w:t>
      </w:r>
      <w:r>
        <w:rPr>
          <w:rFonts w:hint="eastAsia" w:ascii="仿宋_GB2312" w:hAnsi="仿宋_GB2312" w:eastAsia="仿宋_GB2312" w:cs="仿宋_GB2312"/>
          <w:color w:val="auto"/>
          <w:sz w:val="24"/>
          <w:highlight w:val="none"/>
        </w:rPr>
        <w:t>：售后服务方案比较细致、合理、可行，保障投标措施较详细，投标人为本项目提供的售后服务人员10人及以上具备助理工程师及以上职称或职业认证资格证书，其中3人具备中级工程师，且供应商企业具备五级售后服务认证证书（认证范围为：通信及信息业务相关的系统集成所涉及的售后服务）。为确保服务响应速度和质量，供应商在南宁市区内有或承诺中标后设立本地服务机构。</w:t>
      </w:r>
    </w:p>
    <w:p>
      <w:pPr>
        <w:pStyle w:val="6"/>
        <w:snapToGrid w:val="0"/>
        <w:spacing w:after="0" w:line="360" w:lineRule="auto"/>
        <w:ind w:left="0" w:leftChars="0"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三档（20分）：售后服务方案细致、合理、可行，保障投标措施详细，服务经验丰富。有完整的售后服务组织架构、售后服务流程、应急预案、人员补齐方案，投标人为本项目提供的售后服务人员15人及以上，其中</w:t>
      </w:r>
      <w:r>
        <w:rPr>
          <w:rFonts w:ascii="仿宋_GB2312" w:hAnsi="仿宋_GB2312" w:eastAsia="仿宋_GB2312" w:cs="仿宋_GB2312"/>
          <w:bCs/>
          <w:color w:val="auto"/>
          <w:sz w:val="24"/>
          <w:highlight w:val="none"/>
        </w:rPr>
        <w:t>3</w:t>
      </w:r>
      <w:r>
        <w:rPr>
          <w:rFonts w:hint="eastAsia" w:ascii="仿宋_GB2312" w:hAnsi="仿宋_GB2312" w:eastAsia="仿宋_GB2312" w:cs="仿宋_GB2312"/>
          <w:bCs/>
          <w:color w:val="auto"/>
          <w:sz w:val="24"/>
          <w:highlight w:val="none"/>
        </w:rPr>
        <w:t>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具备高级工程师证书，1人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具备网络工程师证书，3人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ITIL资质证书，5人及以上具备助理工程师及以上职称或职业认证资格证书，且供应商企业具备五级售后服务认证证书（认证范围为：通信及信息业务相关的系统集成所涉及的售后服务），为确保服务响应速度和质量，供应商在南宁市区内有或承诺中标后设立本地服务机构，提供服务机构工商注册营业执照复印件或与本地化服务机构签订的有效服务协议复印件或承诺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w:t>
      </w:r>
      <w:r>
        <w:rPr>
          <w:rFonts w:hint="eastAsia" w:ascii="仿宋_GB2312" w:hAnsi="仿宋_GB2312" w:eastAsia="仿宋_GB2312" w:cs="仿宋_GB2312"/>
          <w:bCs/>
          <w:color w:val="auto"/>
          <w:sz w:val="24"/>
          <w:highlight w:val="none"/>
        </w:rPr>
        <w:t xml:space="preserve"> 属代缴情况时，还应提供相关人事管理及社保缴纳说明材料</w:t>
      </w:r>
      <w:r>
        <w:rPr>
          <w:rFonts w:hint="eastAsia" w:ascii="仿宋_GB2312" w:hAnsi="仿宋_GB2312" w:eastAsia="仿宋_GB2312" w:cs="仿宋_GB2312"/>
          <w:color w:val="auto"/>
          <w:sz w:val="24"/>
          <w:highlight w:val="none"/>
        </w:rPr>
        <w:t>，否则不得分。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3、商务分…………………………………………………………</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bCs/>
          <w:color w:val="auto"/>
          <w:sz w:val="24"/>
          <w:highlight w:val="none"/>
        </w:rPr>
        <w:t>…………25分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1）供应商具备强大的企业管理能力，全部通过具有ISO27001（信息安全体系认证）、ISO20000（运维体系认证）、ISO45001（职业健康安全体系认证）、知识产权管理体系认证书、ISO9001（质量管理体系认证）、企业诚信管理体系认证，得6分，需提供证书复印件加盖供应商公章，证书提供不全不得分。（满分6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（2）供应商同时具备中国网络安全审查技术与认证中心颁发的信息安全应急处理资质与信息系统安全运维服务一级资质，得3分，需提供证书复印件加盖供应商公章，否则不得分。（满分3分）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（3）供应商获得信息系统服务交付能力一级证书（五星级）的，提供证书复印件加盖供应商公章，得3分。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4）供应商具备中国信息安全测评中心颁发的“国家信息安全测评信息安全服务资质证书”的，风险评估二级的得1分，风险评估一级得2分，其它的不得分，需提供证书复印件加盖供应商公章，否则不得分。（满分2分）</w:t>
      </w:r>
    </w:p>
    <w:p>
      <w:pPr>
        <w:snapToGrid w:val="0"/>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供应商同时获得ITSS信息技术服务运行维护标准符合性证书一级（业务范围：信息技术服务运行维护）并且近三年内获得过国家信息技术ITSS研制和应用单位并且为ITSS国家信息技术服务标准工作组全权成员单位的，得5分，</w:t>
      </w:r>
      <w:r>
        <w:rPr>
          <w:rFonts w:hint="eastAsia" w:ascii="仿宋_GB2312" w:hAnsi="仿宋_GB2312" w:eastAsia="仿宋_GB2312" w:cs="仿宋_GB2312"/>
          <w:b/>
          <w:bCs/>
          <w:caps/>
          <w:color w:val="auto"/>
          <w:sz w:val="24"/>
          <w:highlight w:val="none"/>
        </w:rPr>
        <w:t>需</w:t>
      </w:r>
      <w:r>
        <w:rPr>
          <w:rFonts w:hint="eastAsia" w:ascii="仿宋_GB2312" w:hAnsi="仿宋_GB2312" w:eastAsia="仿宋_GB2312" w:cs="仿宋_GB2312"/>
          <w:bCs/>
          <w:color w:val="auto"/>
          <w:sz w:val="24"/>
          <w:highlight w:val="none"/>
        </w:rPr>
        <w:t>提供证书复印件加盖投标人公章，否则不得分。（满分5分）</w:t>
      </w:r>
    </w:p>
    <w:p>
      <w:pPr>
        <w:pStyle w:val="2"/>
        <w:snapToGrid w:val="0"/>
        <w:spacing w:after="0"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 xml:space="preserve">    （6）供应商有同类客服案例，一个项目得</w:t>
      </w:r>
      <w:r>
        <w:rPr>
          <w:rFonts w:ascii="仿宋_GB2312" w:hAnsi="仿宋_GB2312" w:eastAsia="仿宋_GB2312" w:cs="仿宋_GB2312"/>
          <w:bCs/>
          <w:color w:val="auto"/>
          <w:sz w:val="24"/>
          <w:highlight w:val="none"/>
        </w:rPr>
        <w:t>3</w:t>
      </w:r>
      <w:r>
        <w:rPr>
          <w:rFonts w:hint="eastAsia" w:ascii="仿宋_GB2312" w:hAnsi="仿宋_GB2312" w:eastAsia="仿宋_GB2312" w:cs="仿宋_GB2312"/>
          <w:bCs/>
          <w:color w:val="auto"/>
          <w:sz w:val="24"/>
          <w:highlight w:val="none"/>
        </w:rPr>
        <w:t>分，满分6分，需提供合同复印件或项目中标通知书复印件加盖供应商公章，否则不得分。（满分6分）。</w:t>
      </w:r>
    </w:p>
    <w:p>
      <w:pPr>
        <w:autoSpaceDE w:val="0"/>
        <w:autoSpaceDN w:val="0"/>
        <w:adjustRightInd w:val="0"/>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（四）总得分=1+2+3。</w:t>
      </w:r>
    </w:p>
    <w:p>
      <w:pPr>
        <w:pStyle w:val="7"/>
        <w:snapToGrid w:val="0"/>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三、中标候选人推荐原则</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磋商小组将根据得分由高到低排列次序并推荐三名成交候选供应商，并编写评审报告。磋商小组根据综合得分由高到低排列次序，若得分相同时，以评审报价（最后报价及享受政府采购政策的优惠扣除）由低到高顺序排列；若得分相同且评审报价相同的，以磋商报价由低到高顺序排列；若仍相同时，按售后服务分由高到低顺序排列并推荐成交候选供应商。若仍相同时，则由磋商小组集体讨论确定。</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（2）采购方应当确定磋商小组推荐排名第一的供应商为成交供应商。</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排名第一的成交候选人放弃成交、因不可抗力提出不能履行合同，或信用信息查询不合格，或者磋商文件规定应当提交履约保证金而在规定的期限内未能提交的，采购方可以确定排名第二的成交候选人为成交供应商，采购方也可以决定重新采购。</w:t>
      </w:r>
    </w:p>
    <w:p>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（4）第二成交候选人因前款规定的同样原因不能签订合同的，采购方可以确定排名第三的成交候选人为成交供应商，采购方也可以决定重新采购。</w:t>
      </w:r>
    </w:p>
    <w:p>
      <w:pPr>
        <w:rPr>
          <w:rFonts w:hint="eastAsia"/>
          <w:color w:val="auto"/>
          <w:highlight w:val="none"/>
        </w:rPr>
      </w:pPr>
    </w:p>
    <w:p>
      <w:pPr>
        <w:rPr>
          <w:rFonts w:hint="eastAsia"/>
          <w:color w:val="auto"/>
          <w:highlight w:val="none"/>
        </w:rPr>
      </w:pPr>
    </w:p>
    <w:p>
      <w:pPr>
        <w:outlineLvl w:val="0"/>
        <w:rPr>
          <w:rFonts w:hint="eastAsia" w:hAnsi="宋体"/>
          <w:color w:val="auto"/>
          <w:szCs w:val="21"/>
          <w:highlight w:val="none"/>
        </w:rPr>
        <w:sectPr>
          <w:footerReference r:id="rId12" w:type="default"/>
          <w:pgSz w:w="11906" w:h="16838"/>
          <w:pgMar w:top="1418" w:right="1418" w:bottom="1418" w:left="1418" w:header="851" w:footer="992" w:gutter="0"/>
          <w:pgNumType w:start="14"/>
          <w:cols w:space="720" w:num="1"/>
          <w:docGrid w:type="lines" w:linePitch="312" w:charSpace="0"/>
        </w:sectPr>
      </w:pPr>
      <w:bookmarkStart w:id="17" w:name="_Toc24295"/>
    </w:p>
    <w:p>
      <w:pPr>
        <w:pStyle w:val="3"/>
        <w:widowControl/>
        <w:jc w:val="center"/>
        <w:rPr>
          <w:rFonts w:hint="eastAsia" w:ascii="仿宋_GB2312" w:hAnsi="仿宋_GB2312" w:eastAsia="仿宋_GB2312" w:cs="仿宋_GB2312"/>
          <w:bCs/>
          <w:color w:val="auto"/>
          <w:kern w:val="2"/>
          <w:highlight w:val="none"/>
          <w:lang w:bidi="ar"/>
        </w:rPr>
      </w:pPr>
      <w:r>
        <w:rPr>
          <w:rFonts w:hint="eastAsia" w:ascii="宋体" w:hAnsi="宋体" w:eastAsia="宋体" w:cs="宋体"/>
          <w:bCs/>
          <w:color w:val="auto"/>
          <w:highlight w:val="none"/>
        </w:rPr>
        <w:t>第五章  合同格式</w:t>
      </w:r>
      <w:r>
        <w:rPr>
          <w:rFonts w:hint="eastAsia" w:ascii="仿宋_GB2312" w:hAnsi="仿宋_GB2312" w:eastAsia="仿宋_GB2312" w:cs="仿宋_GB2312"/>
          <w:bCs/>
          <w:color w:val="auto"/>
          <w:kern w:val="2"/>
          <w:highlight w:val="none"/>
          <w:lang w:bidi="ar"/>
        </w:rPr>
        <w:t xml:space="preserve"> </w:t>
      </w:r>
    </w:p>
    <w:p>
      <w:pPr>
        <w:spacing w:line="560" w:lineRule="exact"/>
        <w:jc w:val="center"/>
        <w:rPr>
          <w:rFonts w:eastAsia="华文中宋"/>
          <w:color w:val="auto"/>
          <w:sz w:val="44"/>
          <w:szCs w:val="44"/>
          <w:highlight w:val="none"/>
        </w:rPr>
      </w:pPr>
      <w:r>
        <w:rPr>
          <w:rFonts w:hint="eastAsia" w:eastAsia="华文中宋"/>
          <w:color w:val="auto"/>
          <w:sz w:val="44"/>
          <w:szCs w:val="44"/>
          <w:highlight w:val="none"/>
        </w:rPr>
        <w:t>客服热线系统及坐席话务服务合同</w:t>
      </w:r>
    </w:p>
    <w:p>
      <w:pPr>
        <w:adjustRightInd w:val="0"/>
        <w:snapToGrid w:val="0"/>
        <w:spacing w:line="30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合同编号：</w:t>
      </w:r>
    </w:p>
    <w:p>
      <w:pPr>
        <w:snapToGrid w:val="0"/>
        <w:spacing w:line="300" w:lineRule="auto"/>
        <w:jc w:val="left"/>
        <w:rPr>
          <w:rFonts w:hint="eastAsia" w:eastAsia="仿宋_GB2312"/>
          <w:color w:val="auto"/>
          <w:sz w:val="28"/>
          <w:szCs w:val="28"/>
          <w:highlight w:val="none"/>
        </w:rPr>
      </w:pPr>
      <w:r>
        <w:rPr>
          <w:rFonts w:hint="eastAsia" w:eastAsia="仿宋_GB2312"/>
          <w:color w:val="auto"/>
          <w:sz w:val="28"/>
          <w:szCs w:val="28"/>
          <w:highlight w:val="none"/>
        </w:rPr>
        <w:t>甲方：</w:t>
      </w:r>
    </w:p>
    <w:p>
      <w:pPr>
        <w:snapToGrid w:val="0"/>
        <w:spacing w:line="300" w:lineRule="auto"/>
        <w:jc w:val="left"/>
        <w:rPr>
          <w:rFonts w:hint="eastAsia" w:eastAsia="仿宋_GB2312"/>
          <w:color w:val="auto"/>
          <w:sz w:val="28"/>
          <w:szCs w:val="28"/>
          <w:highlight w:val="none"/>
        </w:rPr>
      </w:pPr>
      <w:r>
        <w:rPr>
          <w:rFonts w:hint="eastAsia" w:eastAsia="仿宋_GB2312"/>
          <w:color w:val="auto"/>
          <w:sz w:val="28"/>
          <w:szCs w:val="28"/>
          <w:highlight w:val="none"/>
        </w:rPr>
        <w:t>乙方：</w:t>
      </w:r>
    </w:p>
    <w:p>
      <w:pPr>
        <w:snapToGrid w:val="0"/>
        <w:spacing w:line="300" w:lineRule="auto"/>
        <w:jc w:val="left"/>
        <w:rPr>
          <w:rFonts w:hint="eastAsia" w:eastAsia="仿宋_GB2312"/>
          <w:color w:val="auto"/>
          <w:sz w:val="28"/>
          <w:szCs w:val="28"/>
          <w:highlight w:val="none"/>
        </w:rPr>
      </w:pP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甲乙双方本着平等、自愿、公平的原则，根据《中华人民共和国民法典》合同篇及相关法律法规的规定，经协商一致达成本合同：</w:t>
      </w:r>
    </w:p>
    <w:p>
      <w:pPr>
        <w:numPr>
          <w:ilvl w:val="0"/>
          <w:numId w:val="1"/>
        </w:numPr>
        <w:snapToGrid w:val="0"/>
        <w:spacing w:line="300" w:lineRule="auto"/>
        <w:ind w:firstLine="600"/>
        <w:rPr>
          <w:rFonts w:hint="eastAsia" w:eastAsia="仿宋_GB2312"/>
          <w:color w:val="auto"/>
          <w:sz w:val="28"/>
          <w:szCs w:val="28"/>
          <w:highlight w:val="none"/>
        </w:rPr>
      </w:pPr>
      <w:r>
        <w:rPr>
          <w:rFonts w:hint="eastAsia" w:eastAsia="仿宋_GB2312"/>
          <w:color w:val="auto"/>
          <w:sz w:val="28"/>
          <w:szCs w:val="28"/>
          <w:highlight w:val="none"/>
        </w:rPr>
        <w:t>乙方向甲方提供客服系统服务、坐席话务服务、通讯保障服务及技术支持服务等。服务内容如下：</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1.客服系统服务</w:t>
      </w:r>
    </w:p>
    <w:p>
      <w:pPr>
        <w:snapToGrid w:val="0"/>
        <w:spacing w:line="300" w:lineRule="auto"/>
        <w:ind w:firstLine="640"/>
        <w:rPr>
          <w:rFonts w:hint="eastAsia" w:eastAsia="仿宋_GB2312"/>
          <w:color w:val="auto"/>
          <w:sz w:val="28"/>
          <w:szCs w:val="28"/>
          <w:highlight w:val="none"/>
        </w:rPr>
      </w:pPr>
      <w:r>
        <w:rPr>
          <w:rFonts w:hint="eastAsia" w:ascii="仿宋_GB2312" w:hAnsi="仿宋_GB2312" w:eastAsia="仿宋_GB2312" w:cs="仿宋_GB2312"/>
          <w:color w:val="auto"/>
          <w:sz w:val="28"/>
          <w:szCs w:val="28"/>
          <w:highlight w:val="none"/>
        </w:rPr>
        <w:t>（1）乙方向甲方</w:t>
      </w:r>
      <w:r>
        <w:rPr>
          <w:rFonts w:hint="eastAsia" w:eastAsia="仿宋_GB2312"/>
          <w:color w:val="auto"/>
          <w:sz w:val="28"/>
          <w:szCs w:val="28"/>
          <w:highlight w:val="none"/>
        </w:rPr>
        <w:t>提供智能客服系统、12个客服人员账号及相关支持服务。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（2）乙方负责智能客服系统的安装、调试及使用培训。</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（3）智能客服系统功能应按照《客服热线系统功能清单》（详见附件一）进行配置。</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（4）乙方需协助甲方建立客服知识库。</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（5）客服系统应于协议签订后4周内正式上线运行。</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2.坐席话务服务</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（1）乙方向甲方提供3名专业的中英双语驻场话务员，其中一名双语话务员服务期为一年，另两名双语话务员服务期为四个月（短期服务起始时间由甲方根据客服热线业务情况决定）。</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（2）乙方需根据甲方的业务需要，动态调整派驻人员数量，此部分费用以《服务费用明细》（详见附件二）的驻场人员价格为依据。</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（3）坐席话务素质要求</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1）大专及以上学历，专业不限，性别不限，年龄在22-40岁之间（含）。</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2）具有较强的学习能力和专业的客服知识，经过甲方业务培训后能迅速上岗。</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3）具有分析、处理、应变及解决问题的工作能力，以及良好的客户服务意识，综合素质较高。</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4）富有同情心、善于倾听、引导和与人沟通。</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5）具有优秀的语言表达能力和沟通能力，口齿清晰，普通话标准，能使用流畅的英文与外商沟通交流。</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6）能熟练使用中文打字软件和办公软件，有较强的文字归纳能力。</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7）工作责任心强，保密意识强，组织纪律性强，服务大局工作安排。</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8）无犯罪记录和不良行为记录。</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9）符合以下条件之一者优先聘用：中共党员，有相关工作经验，能熟悉使用当地方言，服务所在地生源。</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（4）遵守甲方工作纪律和保密纪律，服从甲方相关工作的安排及管理。</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（5）如乙方提供的双语话务员不能达到甲方的工作要求或有违法违纪行为的，甲方有权要求乙方及时更换话务员。</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3.通讯保障服务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（1）乙方提供1条2M支持30路并发的语音中继用于坐席服务。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（2）乙方根据甲方需求提供客服热线号码，并确保热线号码全年正常使用。</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（3）乙方负责通讯线路的安装部署及保障全年所有坐席的通讯线路正常使用。</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4.技术支持服务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乙方负责客服热线远程及现场技术支撑，根据实际情况解决现场出现的技术问题，即时响应，动态优化，保证客服热线的正常运营。</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5.其他服务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（1）乙方应根据甲方的需求，协助甲方建立相应的客服热线管理制度及执行管理办法，包括但不限于客服运营业务流程、标准化客服业务管理办法、客服人员培养办法及客服热线相关制度等。</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（2）提供不少于3场客服业务培训，包括但不限于客服服务标准化流程培训、客服业务能力培训和客服业务知识培训。</w:t>
      </w:r>
    </w:p>
    <w:p>
      <w:pPr>
        <w:snapToGrid w:val="0"/>
        <w:spacing w:line="300" w:lineRule="auto"/>
        <w:ind w:firstLine="600"/>
        <w:rPr>
          <w:rFonts w:hint="eastAsia" w:eastAsia="仿宋_GB2312"/>
          <w:color w:val="auto"/>
          <w:sz w:val="28"/>
          <w:szCs w:val="28"/>
          <w:highlight w:val="none"/>
        </w:rPr>
      </w:pPr>
      <w:r>
        <w:rPr>
          <w:rFonts w:hint="eastAsia" w:eastAsia="仿宋_GB2312"/>
          <w:color w:val="auto"/>
          <w:sz w:val="28"/>
          <w:szCs w:val="28"/>
          <w:highlight w:val="none"/>
        </w:rPr>
        <w:t>第二条 甲方委托乙方完成的服务内容及双方权利义务</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1.乙方按合同的要求做好提供客服系统、坐席话务员、通讯保障及技术支持等服务，并对服务质量负责。</w:t>
      </w:r>
    </w:p>
    <w:p>
      <w:pPr>
        <w:snapToGrid w:val="0"/>
        <w:spacing w:line="300" w:lineRule="auto"/>
        <w:ind w:left="2" w:firstLine="557" w:firstLineChars="199"/>
        <w:rPr>
          <w:rFonts w:hint="eastAsia" w:eastAsia="仿宋_GB2312"/>
          <w:color w:val="auto"/>
          <w:kern w:val="0"/>
          <w:sz w:val="28"/>
          <w:szCs w:val="28"/>
          <w:highlight w:val="none"/>
        </w:rPr>
      </w:pPr>
      <w:r>
        <w:rPr>
          <w:rFonts w:hint="eastAsia" w:eastAsia="仿宋_GB2312"/>
          <w:color w:val="auto"/>
          <w:sz w:val="28"/>
          <w:szCs w:val="28"/>
          <w:highlight w:val="none"/>
        </w:rPr>
        <w:t>2.为确保数据安全性，防止泄露和遗失，乙方</w:t>
      </w:r>
      <w:r>
        <w:rPr>
          <w:rFonts w:hint="eastAsia" w:eastAsia="仿宋_GB2312"/>
          <w:color w:val="auto"/>
          <w:kern w:val="0"/>
          <w:sz w:val="28"/>
          <w:szCs w:val="28"/>
          <w:highlight w:val="none"/>
        </w:rPr>
        <w:t>须与甲方签订保密协议，做好相关保密工作。</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kern w:val="0"/>
          <w:sz w:val="28"/>
          <w:szCs w:val="28"/>
          <w:highlight w:val="none"/>
        </w:rPr>
        <w:t>3.</w:t>
      </w:r>
      <w:r>
        <w:rPr>
          <w:rFonts w:hint="eastAsia" w:eastAsia="仿宋_GB2312"/>
          <w:color w:val="auto"/>
          <w:sz w:val="28"/>
          <w:szCs w:val="28"/>
          <w:highlight w:val="none"/>
        </w:rPr>
        <w:t>其他上述条款未细列，但属于客服热线业务范畴不涉及经费开支的其他工作，可由甲方与乙方协商一致后补充确认为执行内容。</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4.乙方服务工作过程中如侵犯了第三方合法权益而引发的任何纠纷或诉讼，均由乙方负责交涉并承担全部责任。</w:t>
      </w:r>
    </w:p>
    <w:p>
      <w:pPr>
        <w:snapToGrid w:val="0"/>
        <w:spacing w:line="300" w:lineRule="auto"/>
        <w:ind w:left="2" w:firstLine="557" w:firstLineChars="199"/>
        <w:rPr>
          <w:rFonts w:hint="eastAsia" w:eastAsia="仿宋_GB2312"/>
          <w:color w:val="auto"/>
          <w:sz w:val="28"/>
          <w:szCs w:val="28"/>
          <w:highlight w:val="none"/>
        </w:rPr>
      </w:pPr>
      <w:r>
        <w:rPr>
          <w:rFonts w:hint="eastAsia" w:eastAsia="仿宋_GB2312"/>
          <w:color w:val="auto"/>
          <w:sz w:val="28"/>
          <w:szCs w:val="28"/>
          <w:highlight w:val="none"/>
        </w:rPr>
        <w:t>5.本协议执行过程中如乙方获知甲方内部资料、国家机密等保密信息，乙方负有保密义务，不得泄露于第三方。如有违反，乙方应承担由此所造成的一切法律责任。</w:t>
      </w:r>
    </w:p>
    <w:p>
      <w:pPr>
        <w:snapToGrid w:val="0"/>
        <w:spacing w:line="300" w:lineRule="auto"/>
        <w:ind w:left="2" w:firstLine="557" w:firstLineChars="19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 本合同固定项目的总金额为人民币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），通讯费用根据实际产生费用按季度另外结算；</w:t>
      </w:r>
      <w:r>
        <w:rPr>
          <w:rFonts w:hint="eastAsia" w:ascii="仿宋" w:hAnsi="仿宋" w:eastAsia="仿宋" w:cs="仿宋"/>
          <w:bCs/>
          <w:color w:val="auto"/>
          <w:sz w:val="28"/>
          <w:szCs w:val="28"/>
          <w:highlight w:val="none"/>
        </w:rPr>
        <w:t>服务期为1年，即本协议生效之日起至次年同月同日止</w:t>
      </w:r>
      <w:r>
        <w:rPr>
          <w:rFonts w:hint="eastAsia" w:ascii="仿宋" w:hAnsi="仿宋" w:eastAsia="仿宋" w:cs="仿宋"/>
          <w:color w:val="auto"/>
          <w:sz w:val="28"/>
          <w:szCs w:val="28"/>
          <w:highlight w:val="none"/>
        </w:rPr>
        <w:t>。乙方对人员、资金等项目相关方面负有监督、统筹、协调、支持的责任，确保按照协议约定全面履行义务。《服务费用明细》详见附件二。</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1.付款方式：项目费用分3期支付，支付方式为银行转账：</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第1期：自本合同签署后20个工作日内，甲方收到乙方开具的等额增值税专用发票后，甲方向乙方支付合同总额40%，即人民币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第2期：合同签署满6个月并收到乙方开具的等额增值税专用发票后，甲方向乙方支付合同总额40%，即人民币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pPr>
        <w:snapToGrid w:val="0"/>
        <w:spacing w:line="300" w:lineRule="auto"/>
        <w:ind w:firstLine="560" w:firstLineChars="200"/>
        <w:rPr>
          <w:rFonts w:hint="eastAsia" w:eastAsia="仿宋_GB2312"/>
          <w:color w:val="auto"/>
          <w:sz w:val="28"/>
          <w:szCs w:val="28"/>
          <w:highlight w:val="none"/>
        </w:rPr>
      </w:pPr>
      <w:r>
        <w:rPr>
          <w:rFonts w:hint="eastAsia" w:ascii="仿宋" w:hAnsi="仿宋" w:eastAsia="仿宋" w:cs="仿宋"/>
          <w:color w:val="auto"/>
          <w:sz w:val="28"/>
          <w:szCs w:val="28"/>
          <w:highlight w:val="none"/>
        </w:rPr>
        <w:t>第3期：服务期满后，乙方协助甲方将系统中的资料数据完全导出，并开具等额增值税专用发票后，甲方在收到发票后20个工作日内将项目结算余款人民币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）支付给乙方。</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2.乙方指定以下收款账户，账户信息如下：</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开户名称：</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开户银行：</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开户账号：</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3.本协议执行中相关的一切税费均由乙方负担。</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第四条 乙方未按本协议和附件中的服务标准提供服务，造成严重后果的，乙方应按本协议合计金额5%向甲方支付违约金。由于甲方的原因造成合同不能如期履行的，双方可根据具体情况顺延合同的履行期，对乙方因此造成的损失，甲方应予以补偿。</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第五条 不可抗力</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合同期内，由于不可抗力原因导致协议无法履行或履行障碍，双方互不承担违约责任，但先发现的一方有义务在第一时间内书面通知其他一方，任何一方因不可抗力原因导致不能履行合同，则合同履行期可延长，其延长期与不可抗力影响期相同。</w:t>
      </w:r>
    </w:p>
    <w:p>
      <w:pPr>
        <w:snapToGrid w:val="0"/>
        <w:spacing w:line="300" w:lineRule="auto"/>
        <w:ind w:left="2" w:firstLine="560" w:firstLineChars="200"/>
        <w:rPr>
          <w:rFonts w:hint="eastAsia" w:eastAsia="仿宋_GB2312"/>
          <w:color w:val="auto"/>
          <w:sz w:val="28"/>
          <w:szCs w:val="28"/>
          <w:highlight w:val="none"/>
        </w:rPr>
      </w:pPr>
      <w:r>
        <w:rPr>
          <w:rFonts w:hint="eastAsia" w:eastAsia="仿宋_GB2312"/>
          <w:color w:val="auto"/>
          <w:sz w:val="28"/>
          <w:szCs w:val="28"/>
          <w:highlight w:val="none"/>
        </w:rPr>
        <w:t>2.合同期内，不可抗力事件延续一百二十天以上，双方应通过友好协商，确定是否继续履行合同。</w:t>
      </w: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第六条 协议引发的争议应由甲乙双方友好协商解决。双方协商不成或不愿协商的，可向南宁仲裁委员会申请仲裁。</w:t>
      </w:r>
    </w:p>
    <w:p>
      <w:pPr>
        <w:snapToGrid w:val="0"/>
        <w:spacing w:line="30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第七条 通知和送达</w:t>
      </w:r>
    </w:p>
    <w:p>
      <w:pPr>
        <w:snapToGrid w:val="0"/>
        <w:spacing w:line="30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乙双方同意，法院、仲裁机构等国家机关和合同当事人可以采用直接送达、留置送达及邮寄、传真、电子邮件等法律认可的方式送达就有关本合同的履行、诉讼、仲裁等事项发出的任何法律文件、通讯和通知，送达地址及联系方式以本合同甲乙双方列示的为准。如发生变动，甲乙双方应立即书面通知对方。合同一方当事人以及法院、仲裁机构等国家机关只要按照本合同的联系方式发送，即应视作在下列日期被送达：（1）邮递（包括特快专递、平信邮寄、挂号邮寄），以邮寄之日后的第七个工作日视为送达日；（2）传真或其他电子通讯方式，以发送之日视为送达日；（3）专人送达，以收件人签收之日视为送达日。如果发生收件人拒绝签收或其它无法送达的情形的，则从发件人寄出文书之日起视为已经送达对方。</w:t>
      </w: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第八条 除《中华人民共和国政府采购法》第五十条规定的情形外，本合同一经签订，甲乙双方不得擅自变更、中止或终止。</w:t>
      </w:r>
    </w:p>
    <w:p>
      <w:pPr>
        <w:tabs>
          <w:tab w:val="left" w:pos="0"/>
        </w:tabs>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第九条 本合同正本一式陆份，甲乙双方各执叁份，自双方法定代表人或授权代理人签字并加盖公章之日起生效。</w:t>
      </w:r>
    </w:p>
    <w:p>
      <w:pPr>
        <w:snapToGrid w:val="0"/>
        <w:spacing w:line="300" w:lineRule="auto"/>
        <w:rPr>
          <w:rFonts w:hint="eastAsia" w:eastAsia="仿宋_GB2312"/>
          <w:color w:val="auto"/>
          <w:sz w:val="28"/>
          <w:szCs w:val="28"/>
          <w:highlight w:val="none"/>
        </w:rPr>
      </w:pP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 xml:space="preserve">甲方（公章）： </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法人代表或授权代理人（签字）：</w:t>
      </w:r>
    </w:p>
    <w:p>
      <w:pPr>
        <w:snapToGrid w:val="0"/>
        <w:spacing w:line="300" w:lineRule="auto"/>
        <w:rPr>
          <w:rFonts w:hint="eastAsia" w:eastAsia="仿宋_GB2312"/>
          <w:color w:val="auto"/>
          <w:sz w:val="28"/>
          <w:szCs w:val="28"/>
          <w:highlight w:val="none"/>
        </w:rPr>
      </w:pP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 xml:space="preserve">乙方（公章）：               </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法人代表或授权代理人（签字）：</w:t>
      </w:r>
    </w:p>
    <w:p>
      <w:pPr>
        <w:snapToGrid w:val="0"/>
        <w:spacing w:line="300" w:lineRule="auto"/>
        <w:ind w:firstLine="560" w:firstLineChars="200"/>
        <w:rPr>
          <w:rFonts w:hint="eastAsia" w:eastAsia="仿宋_GB2312"/>
          <w:color w:val="auto"/>
          <w:sz w:val="28"/>
          <w:szCs w:val="28"/>
          <w:highlight w:val="none"/>
        </w:rPr>
      </w:pPr>
    </w:p>
    <w:p>
      <w:pPr>
        <w:snapToGrid w:val="0"/>
        <w:spacing w:line="300" w:lineRule="auto"/>
        <w:jc w:val="center"/>
        <w:rPr>
          <w:rFonts w:hint="eastAsia" w:eastAsia="仿宋_GB2312"/>
          <w:color w:val="auto"/>
          <w:sz w:val="32"/>
          <w:szCs w:val="32"/>
          <w:highlight w:val="none"/>
        </w:rPr>
      </w:pPr>
      <w:r>
        <w:rPr>
          <w:rFonts w:hint="eastAsia" w:eastAsia="仿宋_GB2312"/>
          <w:color w:val="auto"/>
          <w:sz w:val="28"/>
          <w:szCs w:val="28"/>
          <w:highlight w:val="none"/>
        </w:rPr>
        <w:t>签订时间：</w:t>
      </w:r>
    </w:p>
    <w:p>
      <w:pPr>
        <w:widowControl/>
        <w:snapToGrid w:val="0"/>
        <w:spacing w:line="300" w:lineRule="auto"/>
        <w:jc w:val="left"/>
        <w:rPr>
          <w:rFonts w:hint="eastAsia" w:eastAsia="黑体"/>
          <w:bCs/>
          <w:color w:val="auto"/>
          <w:kern w:val="0"/>
          <w:sz w:val="32"/>
          <w:szCs w:val="32"/>
          <w:highlight w:val="none"/>
        </w:rPr>
      </w:pPr>
      <w:r>
        <w:rPr>
          <w:rFonts w:hint="eastAsia" w:eastAsia="黑体"/>
          <w:bCs/>
          <w:color w:val="auto"/>
          <w:kern w:val="0"/>
          <w:sz w:val="32"/>
          <w:szCs w:val="32"/>
          <w:highlight w:val="none"/>
        </w:rPr>
        <w:br w:type="page"/>
      </w:r>
      <w:r>
        <w:rPr>
          <w:rFonts w:hint="eastAsia" w:ascii="仿宋" w:hAnsi="仿宋" w:eastAsia="仿宋" w:cs="仿宋"/>
          <w:bCs/>
          <w:color w:val="auto"/>
          <w:kern w:val="0"/>
          <w:sz w:val="28"/>
          <w:szCs w:val="28"/>
          <w:highlight w:val="none"/>
        </w:rPr>
        <w:t>合同附件一</w:t>
      </w:r>
    </w:p>
    <w:p>
      <w:pPr>
        <w:widowControl/>
        <w:spacing w:line="560" w:lineRule="exact"/>
        <w:jc w:val="left"/>
        <w:rPr>
          <w:rFonts w:hint="eastAsia" w:eastAsia="黑体"/>
          <w:bCs/>
          <w:color w:val="auto"/>
          <w:kern w:val="0"/>
          <w:sz w:val="32"/>
          <w:szCs w:val="32"/>
          <w:highlight w:val="none"/>
        </w:rPr>
      </w:pPr>
    </w:p>
    <w:tbl>
      <w:tblPr>
        <w:tblStyle w:val="14"/>
        <w:tblW w:w="0" w:type="auto"/>
        <w:tblInd w:w="0" w:type="dxa"/>
        <w:tblLayout w:type="fixed"/>
        <w:tblCellMar>
          <w:top w:w="0" w:type="dxa"/>
          <w:left w:w="0" w:type="dxa"/>
          <w:bottom w:w="0" w:type="dxa"/>
          <w:right w:w="0" w:type="dxa"/>
        </w:tblCellMar>
      </w:tblPr>
      <w:tblGrid>
        <w:gridCol w:w="1815"/>
        <w:gridCol w:w="2280"/>
        <w:gridCol w:w="2340"/>
        <w:gridCol w:w="2250"/>
      </w:tblGrid>
      <w:tr>
        <w:tblPrEx>
          <w:tblCellMar>
            <w:top w:w="0" w:type="dxa"/>
            <w:left w:w="0" w:type="dxa"/>
            <w:bottom w:w="0" w:type="dxa"/>
            <w:right w:w="0" w:type="dxa"/>
          </w:tblCellMar>
        </w:tblPrEx>
        <w:trPr>
          <w:trHeight w:val="360"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kern w:val="0"/>
                <w:sz w:val="24"/>
                <w:highlight w:val="none"/>
                <w:lang w:bidi="ar"/>
              </w:rPr>
            </w:pPr>
            <w:r>
              <w:rPr>
                <w:rFonts w:hint="eastAsia" w:ascii="仿宋" w:hAnsi="仿宋" w:eastAsia="仿宋" w:cs="仿宋"/>
                <w:b/>
                <w:bCs/>
                <w:color w:val="auto"/>
                <w:sz w:val="28"/>
                <w:szCs w:val="28"/>
                <w:highlight w:val="none"/>
              </w:rPr>
              <w:t>客服热线系统功能清单</w:t>
            </w:r>
          </w:p>
        </w:tc>
      </w:tr>
      <w:tr>
        <w:tblPrEx>
          <w:tblCellMar>
            <w:top w:w="0" w:type="dxa"/>
            <w:left w:w="0" w:type="dxa"/>
            <w:bottom w:w="0" w:type="dxa"/>
            <w:right w:w="0" w:type="dxa"/>
          </w:tblCellMar>
        </w:tblPrEx>
        <w:trPr>
          <w:trHeight w:val="455"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362"/>
              </w:tabs>
              <w:spacing w:before="0" w:beforeAutospacing="0" w:after="0" w:afterAutospacing="0"/>
              <w:ind w:left="0" w:right="0"/>
              <w:textAlignment w:val="center"/>
              <w:rPr>
                <w:rFonts w:hint="eastAsia" w:ascii="仿宋" w:hAnsi="仿宋" w:eastAsia="仿宋" w:cs="仿宋"/>
                <w:b/>
                <w:color w:val="auto"/>
                <w:kern w:val="0"/>
                <w:sz w:val="24"/>
                <w:highlight w:val="none"/>
                <w:lang w:bidi="ar"/>
              </w:rPr>
            </w:pPr>
            <w:r>
              <w:rPr>
                <w:rFonts w:hint="eastAsia" w:ascii="仿宋" w:hAnsi="仿宋" w:eastAsia="仿宋" w:cs="仿宋"/>
                <w:b/>
                <w:color w:val="auto"/>
                <w:kern w:val="0"/>
                <w:sz w:val="24"/>
                <w:highlight w:val="none"/>
                <w:lang w:bidi="ar"/>
              </w:rPr>
              <w:t>主账号界面功能清单</w:t>
            </w: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一级</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二级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三级</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四级</w:t>
            </w: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首页</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我的工单</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我的接待</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在线监控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电话坐席监控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工单查询</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待处理的工单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我创建的工单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我解决的工单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SLA服务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大于24小时未分配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大于48小时未解决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知识库</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单轮问题管理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多轮问题管理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智能学习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未知问题学习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管理设置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接口管理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属性设置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属性类别管理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自定义词库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寒暄问题</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同义词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专业名词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内部知识库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客户中心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客户列表 </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公司列表 </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统计</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满意度评价统计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工单统计概览</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客服工作量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工单分类统计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机器人回答统计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维护工作量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客户反馈</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通话报表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坐席统计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满意度统计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呼入统计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呼出统计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质检</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会话质检</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会话质检结果</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在线客服质检报表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通话质检</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呼叫客服得分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通话质检记录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系统设置</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功能设置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上下班时间设置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自定义字段</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客服状态自定义</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支持渠道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桌面网站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移动网站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APP</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企业微信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微信小程序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第三方平台</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机器人信息</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智能优化策略</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关键词屏蔽</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转人工关键词设置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客服工作台设置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会话自动应答</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询前表单设置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留言设置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在线质检评分方案设定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人工满意度评价设置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会话报警设置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敏感词设置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电销技能组设置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坐席号码设置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呼叫质检评分方案设定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IVR设置</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基础设置</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IVR流程设置</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自定义语音库</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工单自定义字段</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工单自定义模板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工单自定义分类</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流转触发器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定时触发器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工单处理时效（SLA）</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客服管理</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组织架构</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535"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bidi="ar"/>
              </w:rPr>
              <w:t>客服账号界面功能清单</w:t>
            </w: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首页</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我的工单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我的接待</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我的通话</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工单查询</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自定义查询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待处理的工单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我创建的工单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我解决的工单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SLA服务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大于24小时未分配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大于48小时未解决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知识库</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内部知识库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知识查询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通话记录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联系计划</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短信</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单发短信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我的短信记录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bl>
    <w:p>
      <w:pPr>
        <w:widowControl/>
        <w:spacing w:line="560" w:lineRule="exact"/>
        <w:jc w:val="left"/>
        <w:rPr>
          <w:rFonts w:hint="eastAsia" w:eastAsia="黑体"/>
          <w:bCs/>
          <w:color w:val="auto"/>
          <w:kern w:val="0"/>
          <w:sz w:val="32"/>
          <w:szCs w:val="32"/>
          <w:highlight w:val="none"/>
        </w:rPr>
      </w:pPr>
    </w:p>
    <w:p>
      <w:pPr>
        <w:widowControl/>
        <w:jc w:val="left"/>
        <w:rPr>
          <w:rFonts w:hint="eastAsia" w:eastAsia="黑体"/>
          <w:bCs/>
          <w:color w:val="auto"/>
          <w:kern w:val="0"/>
          <w:sz w:val="32"/>
          <w:szCs w:val="32"/>
          <w:highlight w:val="none"/>
        </w:rPr>
      </w:pPr>
      <w:r>
        <w:rPr>
          <w:rFonts w:hint="eastAsia" w:ascii="仿宋" w:hAnsi="仿宋" w:eastAsia="仿宋" w:cs="仿宋"/>
          <w:bCs/>
          <w:color w:val="auto"/>
          <w:kern w:val="0"/>
          <w:sz w:val="32"/>
          <w:szCs w:val="32"/>
          <w:highlight w:val="none"/>
        </w:rPr>
        <w:br w:type="page"/>
      </w:r>
      <w:r>
        <w:rPr>
          <w:rFonts w:hint="eastAsia" w:ascii="仿宋" w:hAnsi="仿宋" w:eastAsia="仿宋" w:cs="仿宋"/>
          <w:bCs/>
          <w:color w:val="auto"/>
          <w:kern w:val="0"/>
          <w:sz w:val="28"/>
          <w:szCs w:val="28"/>
          <w:highlight w:val="none"/>
        </w:rPr>
        <w:t>合同附件二</w:t>
      </w:r>
    </w:p>
    <w:tbl>
      <w:tblPr>
        <w:tblStyle w:val="14"/>
        <w:tblW w:w="9287" w:type="dxa"/>
        <w:tblInd w:w="0" w:type="dxa"/>
        <w:tblLayout w:type="fixed"/>
        <w:tblCellMar>
          <w:top w:w="0" w:type="dxa"/>
          <w:left w:w="108" w:type="dxa"/>
          <w:bottom w:w="0" w:type="dxa"/>
          <w:right w:w="108" w:type="dxa"/>
        </w:tblCellMar>
      </w:tblPr>
      <w:tblGrid>
        <w:gridCol w:w="834"/>
        <w:gridCol w:w="1918"/>
        <w:gridCol w:w="1138"/>
        <w:gridCol w:w="1144"/>
        <w:gridCol w:w="846"/>
        <w:gridCol w:w="1316"/>
        <w:gridCol w:w="2091"/>
      </w:tblGrid>
      <w:tr>
        <w:tblPrEx>
          <w:tblCellMar>
            <w:top w:w="0" w:type="dxa"/>
            <w:left w:w="108" w:type="dxa"/>
            <w:bottom w:w="0" w:type="dxa"/>
            <w:right w:w="108" w:type="dxa"/>
          </w:tblCellMar>
        </w:tblPrEx>
        <w:trPr>
          <w:trHeight w:val="660" w:hRule="atLeast"/>
        </w:trPr>
        <w:tc>
          <w:tcPr>
            <w:tcW w:w="92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tabs>
                <w:tab w:val="left" w:pos="2790"/>
              </w:tabs>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8"/>
                <w:szCs w:val="28"/>
                <w:highlight w:val="none"/>
              </w:rPr>
              <w:t>服务费用明细</w:t>
            </w:r>
          </w:p>
        </w:tc>
      </w:tr>
      <w:tr>
        <w:tblPrEx>
          <w:tblCellMar>
            <w:top w:w="0" w:type="dxa"/>
            <w:left w:w="108" w:type="dxa"/>
            <w:bottom w:w="0" w:type="dxa"/>
            <w:right w:w="108" w:type="dxa"/>
          </w:tblCellMar>
        </w:tblPrEx>
        <w:trPr>
          <w:trHeight w:val="660"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9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项目名称</w:t>
            </w:r>
          </w:p>
        </w:tc>
        <w:tc>
          <w:tcPr>
            <w:tcW w:w="11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单价</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（元）</w:t>
            </w: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年小计</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（万元）</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108" w:type="dxa"/>
            <w:bottom w:w="0" w:type="dxa"/>
            <w:right w:w="108" w:type="dxa"/>
          </w:tblCellMar>
        </w:tblPrEx>
        <w:trPr>
          <w:trHeight w:val="1380" w:hRule="atLeast"/>
        </w:trPr>
        <w:tc>
          <w:tcPr>
            <w:tcW w:w="8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1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客服系统</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套/年</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1.为租用客服系统一年期费用，另行开发需另行付费；</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2.提供12个客服人员账号。</w:t>
            </w:r>
          </w:p>
        </w:tc>
      </w:tr>
      <w:tr>
        <w:tblPrEx>
          <w:tblCellMar>
            <w:top w:w="0" w:type="dxa"/>
            <w:left w:w="108" w:type="dxa"/>
            <w:bottom w:w="0" w:type="dxa"/>
            <w:right w:w="108" w:type="dxa"/>
          </w:tblCellMar>
        </w:tblPrEx>
        <w:trPr>
          <w:trHeight w:val="945" w:hRule="atLeast"/>
        </w:trPr>
        <w:tc>
          <w:tcPr>
            <w:tcW w:w="83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1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驻场人员</w:t>
            </w: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人/年</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中英双语客服，一年编制。</w:t>
            </w:r>
          </w:p>
        </w:tc>
      </w:tr>
      <w:tr>
        <w:tblPrEx>
          <w:tblCellMar>
            <w:top w:w="0" w:type="dxa"/>
            <w:left w:w="108" w:type="dxa"/>
            <w:bottom w:w="0" w:type="dxa"/>
            <w:right w:w="108" w:type="dxa"/>
          </w:tblCellMar>
        </w:tblPrEx>
        <w:trPr>
          <w:trHeight w:val="838" w:hRule="atLeast"/>
        </w:trPr>
        <w:tc>
          <w:tcPr>
            <w:tcW w:w="8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中英双语客服，会期短期编制。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人/年</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普通话客服，</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一年编制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普通话客服，</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会期短期编制。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高级客服主管</w:t>
            </w:r>
          </w:p>
        </w:tc>
      </w:tr>
      <w:tr>
        <w:tblPrEx>
          <w:tblCellMar>
            <w:top w:w="0" w:type="dxa"/>
            <w:left w:w="108" w:type="dxa"/>
            <w:bottom w:w="0" w:type="dxa"/>
            <w:right w:w="108" w:type="dxa"/>
          </w:tblCellMar>
        </w:tblPrEx>
        <w:trPr>
          <w:trHeight w:val="600" w:hRule="atLeast"/>
        </w:trPr>
        <w:tc>
          <w:tcPr>
            <w:tcW w:w="8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9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通信费--语音中继</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一条2M语音中继，支持30路并发。</w:t>
            </w:r>
          </w:p>
        </w:tc>
      </w:tr>
      <w:tr>
        <w:tblPrEx>
          <w:tblCellMar>
            <w:top w:w="0" w:type="dxa"/>
            <w:left w:w="108" w:type="dxa"/>
            <w:bottom w:w="0" w:type="dxa"/>
            <w:right w:w="108" w:type="dxa"/>
          </w:tblCellMar>
        </w:tblPrEx>
        <w:trPr>
          <w:trHeight w:val="815"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通信费--语音接听</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电话接听免费</w:t>
            </w:r>
          </w:p>
        </w:tc>
      </w:tr>
      <w:tr>
        <w:tblPrEx>
          <w:tblCellMar>
            <w:top w:w="0" w:type="dxa"/>
            <w:left w:w="108" w:type="dxa"/>
            <w:bottom w:w="0" w:type="dxa"/>
            <w:right w:w="108" w:type="dxa"/>
          </w:tblCellMar>
        </w:tblPrEx>
        <w:trPr>
          <w:trHeight w:val="559"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通信费--语音拨打</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1.按实际产生费用结算；</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2.甲方根据实际业务需求，可向乙方提出短期升级三倍通话时长的申请，即100元话费可以拨打300元话费的通话时长。</w:t>
            </w:r>
          </w:p>
        </w:tc>
      </w:tr>
      <w:tr>
        <w:tblPrEx>
          <w:tblCellMar>
            <w:top w:w="0" w:type="dxa"/>
            <w:left w:w="108" w:type="dxa"/>
            <w:bottom w:w="0" w:type="dxa"/>
            <w:right w:w="108" w:type="dxa"/>
          </w:tblCellMar>
        </w:tblPrEx>
        <w:trPr>
          <w:trHeight w:val="802"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短信费</w:t>
            </w:r>
          </w:p>
        </w:tc>
        <w:tc>
          <w:tcPr>
            <w:tcW w:w="11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按实际产生费用结算，三网触达。</w:t>
            </w:r>
          </w:p>
        </w:tc>
      </w:tr>
      <w:tr>
        <w:tblPrEx>
          <w:tblCellMar>
            <w:top w:w="0" w:type="dxa"/>
            <w:left w:w="108" w:type="dxa"/>
            <w:bottom w:w="0" w:type="dxa"/>
            <w:right w:w="108" w:type="dxa"/>
          </w:tblCellMar>
        </w:tblPrEx>
        <w:trPr>
          <w:trHeight w:val="786" w:hRule="atLeast"/>
        </w:trPr>
        <w:tc>
          <w:tcPr>
            <w:tcW w:w="588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r>
    </w:tbl>
    <w:p>
      <w:pPr>
        <w:adjustRightInd w:val="0"/>
        <w:snapToGrid w:val="0"/>
        <w:spacing w:line="560" w:lineRule="exact"/>
        <w:rPr>
          <w:rFonts w:hint="eastAsia" w:ascii="仿宋_GB2312" w:hAnsi="仿宋_GB2312" w:eastAsia="仿宋_GB2312" w:cs="仿宋_GB2312"/>
          <w:b/>
          <w:color w:val="auto"/>
          <w:sz w:val="28"/>
          <w:szCs w:val="28"/>
          <w:highlight w:val="none"/>
        </w:rPr>
      </w:pPr>
    </w:p>
    <w:p>
      <w:pPr>
        <w:pStyle w:val="12"/>
        <w:spacing w:line="520" w:lineRule="exact"/>
        <w:jc w:val="center"/>
        <w:rPr>
          <w:rFonts w:eastAsia="Times New Roman"/>
          <w:b/>
          <w:color w:val="auto"/>
          <w:sz w:val="32"/>
          <w:szCs w:val="32"/>
          <w:highlight w:val="none"/>
        </w:rPr>
      </w:pPr>
      <w:r>
        <w:rPr>
          <w:rFonts w:hint="eastAsia" w:ascii="宋体" w:hAnsi="宋体" w:cs="Angsana New"/>
          <w:bCs/>
          <w:color w:val="auto"/>
          <w:kern w:val="0"/>
          <w:sz w:val="32"/>
          <w:szCs w:val="32"/>
          <w:highlight w:val="none"/>
          <w:lang w:bidi="ar"/>
        </w:rPr>
        <w:br w:type="page"/>
      </w:r>
      <w:r>
        <w:rPr>
          <w:rFonts w:hint="eastAsia" w:ascii="宋体" w:hAnsi="宋体" w:cs="宋体"/>
          <w:b/>
          <w:color w:val="auto"/>
          <w:sz w:val="32"/>
          <w:szCs w:val="32"/>
          <w:highlight w:val="none"/>
        </w:rPr>
        <w:t>第</w:t>
      </w:r>
      <w:r>
        <w:rPr>
          <w:rFonts w:ascii="宋体" w:hAnsi="宋体" w:cs="宋体"/>
          <w:b/>
          <w:color w:val="auto"/>
          <w:sz w:val="32"/>
          <w:szCs w:val="32"/>
          <w:highlight w:val="none"/>
        </w:rPr>
        <w:t>六</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ascii="宋体" w:hAnsi="宋体" w:cs="宋体"/>
          <w:b/>
          <w:color w:val="auto"/>
          <w:sz w:val="32"/>
          <w:szCs w:val="32"/>
          <w:highlight w:val="none"/>
        </w:rPr>
        <w:t>竞标响应文件格式</w:t>
      </w:r>
      <w:bookmarkEnd w:id="17"/>
    </w:p>
    <w:p>
      <w:pPr>
        <w:jc w:val="center"/>
        <w:rPr>
          <w:rFonts w:eastAsia="Times New Roman"/>
          <w:b/>
          <w:color w:val="auto"/>
          <w:sz w:val="28"/>
          <w:szCs w:val="28"/>
          <w:highlight w:val="none"/>
        </w:rPr>
      </w:pPr>
    </w:p>
    <w:p>
      <w:pPr>
        <w:jc w:val="center"/>
        <w:outlineLvl w:val="0"/>
        <w:rPr>
          <w:rFonts w:hint="eastAsia"/>
          <w:b/>
          <w:color w:val="auto"/>
          <w:sz w:val="28"/>
          <w:szCs w:val="28"/>
          <w:highlight w:val="none"/>
        </w:rPr>
      </w:pPr>
      <w:bookmarkStart w:id="18" w:name="_Toc15198"/>
      <w:r>
        <w:rPr>
          <w:rFonts w:hint="eastAsia"/>
          <w:b/>
          <w:color w:val="auto"/>
          <w:sz w:val="28"/>
          <w:szCs w:val="28"/>
          <w:highlight w:val="none"/>
        </w:rPr>
        <w:t>（封面）</w:t>
      </w:r>
      <w:bookmarkEnd w:id="18"/>
    </w:p>
    <w:p>
      <w:pPr>
        <w:pStyle w:val="31"/>
        <w:rPr>
          <w:color w:val="auto"/>
          <w:highlight w:val="none"/>
        </w:rPr>
      </w:pPr>
    </w:p>
    <w:p>
      <w:pPr>
        <w:jc w:val="center"/>
        <w:rPr>
          <w:rFonts w:eastAsia="Times New Roman"/>
          <w:color w:val="auto"/>
          <w:sz w:val="30"/>
          <w:szCs w:val="30"/>
          <w:highlight w:val="none"/>
        </w:rPr>
      </w:pPr>
      <w:r>
        <w:rPr>
          <w:rFonts w:eastAsia="Times New Roman"/>
          <w:color w:val="auto"/>
          <w:sz w:val="30"/>
          <w:szCs w:val="30"/>
          <w:highlight w:val="none"/>
        </w:rPr>
        <w:t xml:space="preserve">  </w:t>
      </w:r>
    </w:p>
    <w:p>
      <w:pPr>
        <w:jc w:val="center"/>
        <w:rPr>
          <w:rFonts w:eastAsia="Times New Roman"/>
          <w:color w:val="auto"/>
          <w:sz w:val="84"/>
          <w:szCs w:val="52"/>
          <w:highlight w:val="none"/>
        </w:rPr>
      </w:pPr>
    </w:p>
    <w:p>
      <w:pPr>
        <w:jc w:val="center"/>
        <w:outlineLvl w:val="0"/>
        <w:rPr>
          <w:rFonts w:eastAsia="方正小标宋简体"/>
          <w:b/>
          <w:color w:val="auto"/>
          <w:sz w:val="72"/>
          <w:szCs w:val="72"/>
          <w:highlight w:val="none"/>
        </w:rPr>
      </w:pPr>
      <w:bookmarkStart w:id="19" w:name="_Toc8678"/>
      <w:r>
        <w:rPr>
          <w:rFonts w:hint="eastAsia" w:eastAsia="方正小标宋简体"/>
          <w:b/>
          <w:color w:val="auto"/>
          <w:sz w:val="72"/>
          <w:szCs w:val="72"/>
          <w:highlight w:val="none"/>
        </w:rPr>
        <w:t>竞争性磋商响应文件</w:t>
      </w:r>
      <w:bookmarkEnd w:id="19"/>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tabs>
          <w:tab w:val="left" w:pos="840"/>
        </w:tabs>
        <w:ind w:firstLine="1783" w:firstLineChars="637"/>
        <w:rPr>
          <w:rFonts w:eastAsia="Times New Roman"/>
          <w:color w:val="auto"/>
          <w:sz w:val="28"/>
          <w:szCs w:val="28"/>
          <w:highlight w:val="none"/>
        </w:rPr>
      </w:pPr>
    </w:p>
    <w:p>
      <w:pPr>
        <w:ind w:firstLine="1540" w:firstLineChars="550"/>
        <w:rPr>
          <w:rFonts w:eastAsia="Times New Roman"/>
          <w:color w:val="auto"/>
          <w:sz w:val="28"/>
          <w:szCs w:val="28"/>
          <w:highlight w:val="none"/>
          <w:u w:val="single"/>
        </w:rPr>
      </w:pPr>
      <w:r>
        <w:rPr>
          <w:rFonts w:hint="eastAsia"/>
          <w:color w:val="auto"/>
          <w:sz w:val="28"/>
          <w:szCs w:val="28"/>
          <w:highlight w:val="none"/>
        </w:rPr>
        <w:t>项</w:t>
      </w:r>
      <w:r>
        <w:rPr>
          <w:rFonts w:eastAsia="Times New Roman"/>
          <w:color w:val="auto"/>
          <w:sz w:val="28"/>
          <w:szCs w:val="28"/>
          <w:highlight w:val="none"/>
        </w:rPr>
        <w:t xml:space="preserve"> </w:t>
      </w:r>
      <w:r>
        <w:rPr>
          <w:rFonts w:hint="eastAsia"/>
          <w:color w:val="auto"/>
          <w:sz w:val="28"/>
          <w:szCs w:val="28"/>
          <w:highlight w:val="none"/>
        </w:rPr>
        <w:t>目</w:t>
      </w:r>
      <w:r>
        <w:rPr>
          <w:rFonts w:eastAsia="Times New Roman"/>
          <w:color w:val="auto"/>
          <w:sz w:val="28"/>
          <w:szCs w:val="28"/>
          <w:highlight w:val="none"/>
        </w:rPr>
        <w:t xml:space="preserve"> </w:t>
      </w:r>
      <w:r>
        <w:rPr>
          <w:rFonts w:hint="eastAsia"/>
          <w:color w:val="auto"/>
          <w:sz w:val="28"/>
          <w:szCs w:val="28"/>
          <w:highlight w:val="none"/>
        </w:rPr>
        <w:t>名</w:t>
      </w:r>
      <w:r>
        <w:rPr>
          <w:rFonts w:eastAsia="Times New Roman"/>
          <w:color w:val="auto"/>
          <w:sz w:val="28"/>
          <w:szCs w:val="28"/>
          <w:highlight w:val="none"/>
        </w:rPr>
        <w:t xml:space="preserve"> </w:t>
      </w:r>
      <w:r>
        <w:rPr>
          <w:rFonts w:hint="eastAsia"/>
          <w:color w:val="auto"/>
          <w:sz w:val="28"/>
          <w:szCs w:val="28"/>
          <w:highlight w:val="none"/>
        </w:rPr>
        <w:t>称：</w:t>
      </w:r>
      <w:r>
        <w:rPr>
          <w:rFonts w:eastAsia="Times New Roman"/>
          <w:color w:val="auto"/>
          <w:sz w:val="28"/>
          <w:szCs w:val="28"/>
          <w:highlight w:val="none"/>
          <w:u w:val="single"/>
        </w:rPr>
        <w:t xml:space="preserve">                           </w:t>
      </w:r>
    </w:p>
    <w:p>
      <w:pPr>
        <w:pStyle w:val="31"/>
        <w:rPr>
          <w:color w:val="auto"/>
          <w:highlight w:val="none"/>
        </w:rPr>
      </w:pPr>
    </w:p>
    <w:p>
      <w:pPr>
        <w:rPr>
          <w:rFonts w:eastAsia="Times New Roman"/>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投</w:t>
      </w:r>
      <w:r>
        <w:rPr>
          <w:rFonts w:eastAsia="Times New Roman"/>
          <w:color w:val="auto"/>
          <w:sz w:val="28"/>
          <w:szCs w:val="28"/>
          <w:highlight w:val="none"/>
        </w:rPr>
        <w:t xml:space="preserve"> </w:t>
      </w:r>
      <w:r>
        <w:rPr>
          <w:rFonts w:hint="eastAsia"/>
          <w:color w:val="auto"/>
          <w:sz w:val="28"/>
          <w:szCs w:val="28"/>
          <w:highlight w:val="none"/>
        </w:rPr>
        <w:t>标</w:t>
      </w:r>
      <w:r>
        <w:rPr>
          <w:rFonts w:eastAsia="Times New Roman"/>
          <w:color w:val="auto"/>
          <w:sz w:val="28"/>
          <w:szCs w:val="28"/>
          <w:highlight w:val="none"/>
        </w:rPr>
        <w:t xml:space="preserve"> </w:t>
      </w:r>
      <w:r>
        <w:rPr>
          <w:rFonts w:hint="eastAsia"/>
          <w:color w:val="auto"/>
          <w:sz w:val="28"/>
          <w:szCs w:val="28"/>
          <w:highlight w:val="none"/>
        </w:rPr>
        <w:t>单</w:t>
      </w:r>
      <w:r>
        <w:rPr>
          <w:rFonts w:eastAsia="Times New Roman"/>
          <w:color w:val="auto"/>
          <w:sz w:val="28"/>
          <w:szCs w:val="28"/>
          <w:highlight w:val="none"/>
        </w:rPr>
        <w:t xml:space="preserve"> </w:t>
      </w:r>
      <w:r>
        <w:rPr>
          <w:rFonts w:hint="eastAsia"/>
          <w:color w:val="auto"/>
          <w:sz w:val="28"/>
          <w:szCs w:val="28"/>
          <w:highlight w:val="none"/>
        </w:rPr>
        <w:t>位：</w:t>
      </w:r>
      <w:r>
        <w:rPr>
          <w:rFonts w:eastAsia="Times New Roman"/>
          <w:color w:val="auto"/>
          <w:sz w:val="28"/>
          <w:szCs w:val="28"/>
          <w:highlight w:val="none"/>
          <w:u w:val="single"/>
        </w:rPr>
        <w:t xml:space="preserve">                      </w:t>
      </w:r>
      <w:r>
        <w:rPr>
          <w:rFonts w:hint="eastAsia"/>
          <w:color w:val="auto"/>
          <w:sz w:val="28"/>
          <w:szCs w:val="28"/>
          <w:highlight w:val="none"/>
          <w:u w:val="single"/>
        </w:rPr>
        <w:t>（盖章）</w:t>
      </w:r>
      <w:r>
        <w:rPr>
          <w:rFonts w:eastAsia="Times New Roman"/>
          <w:color w:val="auto"/>
          <w:sz w:val="28"/>
          <w:szCs w:val="28"/>
          <w:highlight w:val="none"/>
          <w:u w:val="single"/>
        </w:rPr>
        <w:t xml:space="preserve">   </w:t>
      </w:r>
    </w:p>
    <w:p>
      <w:pPr>
        <w:pStyle w:val="31"/>
        <w:rPr>
          <w:color w:val="auto"/>
          <w:highlight w:val="none"/>
        </w:rPr>
      </w:pPr>
    </w:p>
    <w:p>
      <w:pPr>
        <w:rPr>
          <w:rFonts w:hint="eastAsia"/>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法定代表人（负责人）或其委托代理人：</w:t>
      </w:r>
      <w:r>
        <w:rPr>
          <w:rFonts w:eastAsia="Times New Roman"/>
          <w:color w:val="auto"/>
          <w:sz w:val="28"/>
          <w:szCs w:val="28"/>
          <w:highlight w:val="none"/>
          <w:u w:val="single"/>
        </w:rPr>
        <w:t xml:space="preserve">     </w:t>
      </w:r>
      <w:r>
        <w:rPr>
          <w:rFonts w:hint="eastAsia"/>
          <w:color w:val="auto"/>
          <w:sz w:val="28"/>
          <w:szCs w:val="28"/>
          <w:highlight w:val="none"/>
          <w:u w:val="single"/>
        </w:rPr>
        <w:t>（</w:t>
      </w:r>
      <w:r>
        <w:rPr>
          <w:rFonts w:eastAsia="Times New Roman"/>
          <w:color w:val="auto"/>
          <w:sz w:val="28"/>
          <w:szCs w:val="28"/>
          <w:highlight w:val="none"/>
          <w:u w:val="single"/>
        </w:rPr>
        <w:t xml:space="preserve"> </w:t>
      </w:r>
      <w:r>
        <w:rPr>
          <w:rFonts w:hint="eastAsia"/>
          <w:color w:val="auto"/>
          <w:sz w:val="28"/>
          <w:szCs w:val="28"/>
          <w:highlight w:val="none"/>
          <w:u w:val="single"/>
        </w:rPr>
        <w:t>签字或盖章）</w:t>
      </w:r>
    </w:p>
    <w:p>
      <w:pPr>
        <w:pStyle w:val="31"/>
        <w:rPr>
          <w:color w:val="auto"/>
          <w:highlight w:val="none"/>
        </w:rPr>
      </w:pPr>
    </w:p>
    <w:p>
      <w:pPr>
        <w:rPr>
          <w:rFonts w:eastAsia="Times New Roman"/>
          <w:color w:val="auto"/>
          <w:sz w:val="28"/>
          <w:szCs w:val="28"/>
          <w:highlight w:val="non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日</w:t>
      </w:r>
      <w:bookmarkStart w:id="20" w:name="_Toc265137628"/>
      <w:bookmarkStart w:id="21" w:name="_Toc264731469"/>
      <w:bookmarkStart w:id="22" w:name="_Toc265137408"/>
      <w:bookmarkStart w:id="23" w:name="_Toc264882251"/>
      <w:bookmarkStart w:id="24" w:name="_Toc265138140"/>
      <w:bookmarkStart w:id="25" w:name="_Toc274756332"/>
      <w:r>
        <w:rPr>
          <w:rFonts w:eastAsia="Times New Roman"/>
          <w:color w:val="auto"/>
          <w:sz w:val="28"/>
          <w:szCs w:val="28"/>
          <w:highlight w:val="none"/>
        </w:rPr>
        <w:t xml:space="preserve">   </w:t>
      </w:r>
      <w:r>
        <w:rPr>
          <w:rFonts w:hint="eastAsia"/>
          <w:color w:val="auto"/>
          <w:sz w:val="28"/>
          <w:szCs w:val="28"/>
          <w:highlight w:val="none"/>
        </w:rPr>
        <w:t>期</w:t>
      </w:r>
      <w:r>
        <w:rPr>
          <w:rFonts w:eastAsia="Times New Roman"/>
          <w:color w:val="auto"/>
          <w:sz w:val="28"/>
          <w:szCs w:val="28"/>
          <w:highlight w:val="none"/>
        </w:rPr>
        <w:t xml:space="preserve">  </w:t>
      </w:r>
      <w:r>
        <w:rPr>
          <w:rFonts w:hint="eastAsia"/>
          <w:color w:val="auto"/>
          <w:sz w:val="28"/>
          <w:szCs w:val="28"/>
          <w:highlight w:val="none"/>
        </w:rPr>
        <w:t>：</w:t>
      </w:r>
      <w:r>
        <w:rPr>
          <w:rFonts w:eastAsia="Times New Roman"/>
          <w:color w:val="auto"/>
          <w:sz w:val="28"/>
          <w:szCs w:val="28"/>
          <w:highlight w:val="none"/>
          <w:u w:val="single"/>
        </w:rPr>
        <w:t xml:space="preserve">         </w:t>
      </w:r>
      <w:r>
        <w:rPr>
          <w:rFonts w:hint="eastAsia"/>
          <w:color w:val="auto"/>
          <w:sz w:val="28"/>
          <w:szCs w:val="28"/>
          <w:highlight w:val="none"/>
        </w:rPr>
        <w:t>年</w:t>
      </w:r>
      <w:r>
        <w:rPr>
          <w:rFonts w:eastAsia="Times New Roman"/>
          <w:color w:val="auto"/>
          <w:sz w:val="28"/>
          <w:szCs w:val="28"/>
          <w:highlight w:val="none"/>
          <w:u w:val="single"/>
        </w:rPr>
        <w:t xml:space="preserve">   </w:t>
      </w:r>
      <w:bookmarkEnd w:id="20"/>
      <w:bookmarkEnd w:id="21"/>
      <w:bookmarkEnd w:id="22"/>
      <w:bookmarkEnd w:id="23"/>
      <w:bookmarkEnd w:id="24"/>
      <w:bookmarkEnd w:id="25"/>
      <w:r>
        <w:rPr>
          <w:rFonts w:eastAsia="Times New Roman"/>
          <w:color w:val="auto"/>
          <w:sz w:val="28"/>
          <w:szCs w:val="28"/>
          <w:highlight w:val="none"/>
          <w:u w:val="single"/>
        </w:rPr>
        <w:t xml:space="preserve">    </w:t>
      </w:r>
      <w:r>
        <w:rPr>
          <w:rFonts w:hint="eastAsia"/>
          <w:color w:val="auto"/>
          <w:sz w:val="28"/>
          <w:szCs w:val="28"/>
          <w:highlight w:val="none"/>
        </w:rPr>
        <w:t>月</w:t>
      </w:r>
      <w:r>
        <w:rPr>
          <w:rFonts w:eastAsia="Times New Roman"/>
          <w:color w:val="auto"/>
          <w:sz w:val="28"/>
          <w:szCs w:val="28"/>
          <w:highlight w:val="none"/>
          <w:u w:val="single"/>
        </w:rPr>
        <w:t xml:space="preserve">       </w:t>
      </w:r>
      <w:r>
        <w:rPr>
          <w:rFonts w:hint="eastAsia"/>
          <w:color w:val="auto"/>
          <w:sz w:val="28"/>
          <w:szCs w:val="28"/>
          <w:highlight w:val="none"/>
        </w:rPr>
        <w:t>日</w:t>
      </w: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rPr>
          <w:rFonts w:hint="eastAsia" w:ascii="宋体" w:hAnsi="宋体" w:cs="宋体"/>
          <w:b/>
          <w:bCs/>
          <w:color w:val="auto"/>
          <w:sz w:val="32"/>
          <w:szCs w:val="32"/>
          <w:highlight w:val="none"/>
        </w:rPr>
        <w:sectPr>
          <w:footerReference r:id="rId13" w:type="default"/>
          <w:pgSz w:w="11906" w:h="16838"/>
          <w:pgMar w:top="1418" w:right="1418" w:bottom="1418" w:left="1418" w:header="851" w:footer="992" w:gutter="0"/>
          <w:pgNumType w:start="23"/>
          <w:cols w:space="720" w:num="1"/>
          <w:docGrid w:type="lines" w:linePitch="312" w:charSpace="0"/>
        </w:sectPr>
      </w:pPr>
      <w:bookmarkStart w:id="26" w:name="_Toc12275"/>
    </w:p>
    <w:p>
      <w:pPr>
        <w:pStyle w:val="11"/>
        <w:ind w:firstLine="241"/>
        <w:rPr>
          <w:rFonts w:hint="eastAsia"/>
          <w:color w:val="auto"/>
          <w:highlight w:val="none"/>
        </w:rPr>
      </w:pPr>
    </w:p>
    <w:p>
      <w:pPr>
        <w:pStyle w:val="11"/>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1"/>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1"/>
        <w:ind w:firstLine="0" w:firstLineChars="0"/>
        <w:rPr>
          <w:rFonts w:hint="eastAsia"/>
          <w:color w:val="auto"/>
          <w:highlight w:val="none"/>
        </w:rPr>
      </w:pPr>
    </w:p>
    <w:p>
      <w:pPr>
        <w:rPr>
          <w:rFonts w:hint="eastAsia"/>
          <w:color w:val="auto"/>
          <w:highlight w:val="none"/>
        </w:rPr>
      </w:pPr>
    </w:p>
    <w:p>
      <w:pPr>
        <w:numPr>
          <w:ilvl w:val="0"/>
          <w:numId w:val="2"/>
        </w:num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商务文件格式</w:t>
      </w: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sectPr>
          <w:footerReference r:id="rId14" w:type="default"/>
          <w:pgSz w:w="11906" w:h="16838"/>
          <w:pgMar w:top="1418" w:right="1418" w:bottom="1418" w:left="1418" w:header="851" w:footer="992" w:gutter="0"/>
          <w:pgNumType w:start="24"/>
          <w:cols w:space="720" w:num="1"/>
          <w:docGrid w:type="lines" w:linePitch="312" w:charSpace="0"/>
        </w:sectPr>
      </w:pPr>
    </w:p>
    <w:p>
      <w:pPr>
        <w:outlineLvl w:val="0"/>
        <w:rPr>
          <w:rFonts w:hint="eastAsia" w:cs="Angsana New"/>
          <w:b/>
          <w:color w:val="auto"/>
          <w:kern w:val="0"/>
          <w:sz w:val="30"/>
          <w:szCs w:val="30"/>
          <w:highlight w:val="none"/>
          <w:lang w:bidi="ar"/>
        </w:rPr>
      </w:pPr>
      <w:r>
        <w:rPr>
          <w:rFonts w:hint="eastAsia" w:cs="Angsana New"/>
          <w:b/>
          <w:color w:val="auto"/>
          <w:kern w:val="0"/>
          <w:sz w:val="30"/>
          <w:szCs w:val="30"/>
          <w:highlight w:val="none"/>
          <w:lang w:bidi="ar"/>
        </w:rPr>
        <w:t>附件1</w:t>
      </w:r>
      <w:bookmarkEnd w:id="26"/>
      <w:r>
        <w:rPr>
          <w:rFonts w:hint="eastAsia" w:cs="Angsana New"/>
          <w:b/>
          <w:color w:val="auto"/>
          <w:kern w:val="0"/>
          <w:sz w:val="30"/>
          <w:szCs w:val="30"/>
          <w:highlight w:val="none"/>
          <w:lang w:bidi="ar"/>
        </w:rPr>
        <w:t xml:space="preserve"> </w:t>
      </w:r>
    </w:p>
    <w:p>
      <w:pPr>
        <w:jc w:val="center"/>
        <w:rPr>
          <w:rFonts w:ascii="华文中宋" w:hAnsi="华文中宋" w:eastAsia="华文中宋" w:cs="华文中宋"/>
          <w:b/>
          <w:color w:val="auto"/>
          <w:sz w:val="44"/>
          <w:szCs w:val="44"/>
          <w:highlight w:val="none"/>
        </w:rPr>
      </w:pPr>
      <w:r>
        <w:rPr>
          <w:rFonts w:hint="eastAsia" w:ascii="华文中宋" w:hAnsi="华文中宋" w:eastAsia="华文中宋" w:cs="华文中宋"/>
          <w:b/>
          <w:color w:val="auto"/>
          <w:sz w:val="44"/>
          <w:szCs w:val="44"/>
          <w:highlight w:val="none"/>
        </w:rPr>
        <w:t>磋商</w:t>
      </w:r>
      <w:r>
        <w:rPr>
          <w:rFonts w:ascii="华文中宋" w:hAnsi="华文中宋" w:eastAsia="华文中宋" w:cs="华文中宋"/>
          <w:b/>
          <w:color w:val="auto"/>
          <w:sz w:val="44"/>
          <w:szCs w:val="44"/>
          <w:highlight w:val="none"/>
        </w:rPr>
        <w:t>函格式</w:t>
      </w:r>
    </w:p>
    <w:p>
      <w:pPr>
        <w:pStyle w:val="31"/>
        <w:rPr>
          <w:rFonts w:hint="eastAsia"/>
          <w:color w:val="auto"/>
          <w:highlight w:val="none"/>
        </w:rPr>
      </w:pPr>
    </w:p>
    <w:p>
      <w:pPr>
        <w:pStyle w:val="7"/>
        <w:spacing w:line="600" w:lineRule="exac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u w:val="single"/>
        </w:rPr>
        <w:t>广西南博国际信息有限公司</w:t>
      </w:r>
      <w:r>
        <w:rPr>
          <w:rFonts w:ascii="Times New Roman" w:hAnsi="Times New Roman" w:eastAsia="仿宋_GB2312"/>
          <w:color w:val="auto"/>
          <w:sz w:val="28"/>
          <w:szCs w:val="28"/>
          <w:highlight w:val="none"/>
        </w:rPr>
        <w:t>：</w:t>
      </w:r>
    </w:p>
    <w:p>
      <w:pPr>
        <w:pStyle w:val="7"/>
        <w:spacing w:line="600" w:lineRule="exact"/>
        <w:rPr>
          <w:rFonts w:ascii="Times New Roman" w:hAnsi="Times New Roman" w:eastAsia="仿宋_GB2312"/>
          <w:color w:val="auto"/>
          <w:sz w:val="28"/>
          <w:szCs w:val="28"/>
          <w:highlight w:val="none"/>
        </w:rPr>
      </w:pP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依据贵方</w:t>
      </w:r>
      <w:r>
        <w:rPr>
          <w:rFonts w:ascii="Times New Roman" w:hAnsi="Times New Roman" w:eastAsia="仿宋_GB2312"/>
          <w:color w:val="auto"/>
          <w:sz w:val="28"/>
          <w:szCs w:val="28"/>
          <w:highlight w:val="none"/>
          <w:u w:val="single"/>
        </w:rPr>
        <w:t xml:space="preserve">             </w:t>
      </w:r>
      <w:r>
        <w:rPr>
          <w:rFonts w:hint="eastAsia" w:ascii="Times New Roman" w:hAnsi="Times New Roman" w:eastAsia="仿宋_GB2312"/>
          <w:color w:val="auto"/>
          <w:sz w:val="28"/>
          <w:szCs w:val="28"/>
          <w:highlight w:val="none"/>
          <w:u w:val="single"/>
        </w:rPr>
        <w:t>项目</w:t>
      </w:r>
      <w:r>
        <w:rPr>
          <w:rFonts w:ascii="Times New Roman" w:hAnsi="Times New Roman" w:eastAsia="仿宋_GB2312"/>
          <w:color w:val="auto"/>
          <w:sz w:val="28"/>
          <w:szCs w:val="28"/>
          <w:highlight w:val="none"/>
        </w:rPr>
        <w:t>的磋商邀请，我方</w:t>
      </w:r>
      <w:r>
        <w:rPr>
          <w:rFonts w:ascii="Times New Roman" w:hAnsi="Times New Roman" w:eastAsia="仿宋_GB2312"/>
          <w:color w:val="auto"/>
          <w:sz w:val="28"/>
          <w:szCs w:val="28"/>
          <w:highlight w:val="none"/>
          <w:u w:val="single"/>
        </w:rPr>
        <w:t>（姓名和职务）</w:t>
      </w:r>
      <w:r>
        <w:rPr>
          <w:rFonts w:ascii="Times New Roman" w:hAnsi="Times New Roman" w:eastAsia="仿宋_GB2312"/>
          <w:color w:val="auto"/>
          <w:sz w:val="28"/>
          <w:szCs w:val="28"/>
          <w:highlight w:val="none"/>
        </w:rPr>
        <w:t>经正式授权并代表磋商供应商</w:t>
      </w:r>
      <w:r>
        <w:rPr>
          <w:rFonts w:ascii="Times New Roman" w:hAnsi="Times New Roman" w:eastAsia="仿宋_GB2312"/>
          <w:color w:val="auto"/>
          <w:sz w:val="28"/>
          <w:szCs w:val="28"/>
          <w:highlight w:val="none"/>
          <w:u w:val="single"/>
        </w:rPr>
        <w:t>（磋商供应商名称、地址）</w:t>
      </w:r>
      <w:r>
        <w:rPr>
          <w:rFonts w:ascii="Times New Roman" w:hAnsi="Times New Roman" w:eastAsia="仿宋_GB2312"/>
          <w:color w:val="auto"/>
          <w:sz w:val="28"/>
          <w:szCs w:val="28"/>
          <w:highlight w:val="none"/>
        </w:rPr>
        <w:t>提交下述竞争性磋商响应文件正本1份；副本2份。</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竞争性磋商响应文件</w:t>
      </w:r>
      <w:r>
        <w:rPr>
          <w:rFonts w:hint="eastAsia" w:ascii="Times New Roman" w:hAnsi="Times New Roman" w:eastAsia="仿宋_GB2312"/>
          <w:color w:val="auto"/>
          <w:sz w:val="28"/>
          <w:szCs w:val="28"/>
          <w:highlight w:val="none"/>
        </w:rPr>
        <w:t>包含：</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1. </w:t>
      </w:r>
      <w:r>
        <w:rPr>
          <w:rFonts w:hint="eastAsia" w:ascii="Times New Roman" w:hAnsi="Times New Roman" w:eastAsia="仿宋_GB2312"/>
          <w:color w:val="auto"/>
          <w:sz w:val="28"/>
          <w:szCs w:val="28"/>
          <w:highlight w:val="none"/>
        </w:rPr>
        <w:t>商务文件及</w:t>
      </w:r>
      <w:r>
        <w:rPr>
          <w:rFonts w:ascii="Times New Roman" w:hAnsi="Times New Roman" w:eastAsia="仿宋_GB2312"/>
          <w:color w:val="auto"/>
          <w:sz w:val="28"/>
          <w:szCs w:val="28"/>
          <w:highlight w:val="none"/>
        </w:rPr>
        <w:t>资格证明文件；</w:t>
      </w:r>
    </w:p>
    <w:p>
      <w:pPr>
        <w:pStyle w:val="7"/>
        <w:spacing w:line="600" w:lineRule="exact"/>
        <w:ind w:firstLine="480"/>
        <w:rPr>
          <w:rFonts w:hint="eastAsia"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2. </w:t>
      </w:r>
      <w:r>
        <w:rPr>
          <w:rFonts w:hint="eastAsia" w:ascii="Times New Roman" w:hAnsi="Times New Roman" w:eastAsia="仿宋_GB2312"/>
          <w:color w:val="auto"/>
          <w:sz w:val="28"/>
          <w:szCs w:val="28"/>
          <w:highlight w:val="none"/>
        </w:rPr>
        <w:t>技术文件；</w:t>
      </w:r>
    </w:p>
    <w:p>
      <w:pPr>
        <w:pStyle w:val="7"/>
        <w:spacing w:line="600" w:lineRule="exact"/>
        <w:ind w:firstLine="700" w:firstLineChars="25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在此，授权代表宣布同意如下：</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 将按竞争性磋商文件的约定履行合同责任和义务；</w:t>
      </w:r>
    </w:p>
    <w:p>
      <w:pPr>
        <w:pStyle w:val="7"/>
        <w:spacing w:line="600" w:lineRule="exact"/>
        <w:ind w:left="840" w:hanging="36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 已详细审查全部竞争性磋商文件；我们完全理解并同意放弃对这方面有不明及误解的权力；</w:t>
      </w:r>
    </w:p>
    <w:p>
      <w:pPr>
        <w:pStyle w:val="7"/>
        <w:spacing w:line="600" w:lineRule="exact"/>
        <w:ind w:left="840" w:hanging="36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 同意提供按照贵方可能要求的与本次项目磋商有关的一切数据或资料；</w:t>
      </w:r>
    </w:p>
    <w:p>
      <w:pPr>
        <w:pStyle w:val="7"/>
        <w:spacing w:line="600" w:lineRule="exact"/>
        <w:ind w:firstLine="48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4. 与本磋商有关的一切正式往来信函请寄：</w:t>
      </w:r>
      <w:r>
        <w:rPr>
          <w:rFonts w:ascii="Times New Roman" w:hAnsi="Times New Roman" w:eastAsia="仿宋_GB2312"/>
          <w:color w:val="auto"/>
          <w:sz w:val="28"/>
          <w:szCs w:val="28"/>
          <w:highlight w:val="none"/>
          <w:u w:val="singl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电话/传真：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电子函件：</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日期：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w:t>
      </w:r>
    </w:p>
    <w:p>
      <w:pPr>
        <w:pStyle w:val="7"/>
        <w:spacing w:line="600" w:lineRule="exact"/>
        <w:ind w:firstLine="840"/>
        <w:rPr>
          <w:rFonts w:ascii="Times New Roman" w:hAnsi="Times New Roman" w:eastAsia="仿宋_GB2312"/>
          <w:color w:val="auto"/>
          <w:sz w:val="28"/>
          <w:szCs w:val="28"/>
          <w:highlight w:val="none"/>
        </w:rPr>
      </w:pPr>
    </w:p>
    <w:p>
      <w:pPr>
        <w:pStyle w:val="7"/>
        <w:spacing w:line="600" w:lineRule="exact"/>
        <w:ind w:firstLine="840"/>
        <w:rPr>
          <w:rFonts w:ascii="Times New Roman" w:hAnsi="Times New Roman" w:eastAsia="仿宋_GB2312"/>
          <w:color w:val="auto"/>
          <w:sz w:val="28"/>
          <w:szCs w:val="28"/>
          <w:highlight w:val="none"/>
        </w:rPr>
      </w:pPr>
    </w:p>
    <w:p>
      <w:pPr>
        <w:pStyle w:val="7"/>
        <w:spacing w:line="600" w:lineRule="exact"/>
        <w:ind w:firstLine="84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法定代表人</w:t>
      </w:r>
      <w:r>
        <w:rPr>
          <w:rFonts w:hint="eastAsia" w:ascii="Times New Roman" w:hAnsi="Times New Roman" w:eastAsia="仿宋_GB2312"/>
          <w:color w:val="auto"/>
          <w:sz w:val="28"/>
          <w:szCs w:val="28"/>
          <w:highlight w:val="none"/>
        </w:rPr>
        <w:t>（负责人）或</w:t>
      </w:r>
      <w:r>
        <w:rPr>
          <w:rFonts w:ascii="Times New Roman" w:hAnsi="Times New Roman" w:eastAsia="仿宋_GB2312"/>
          <w:color w:val="auto"/>
          <w:sz w:val="28"/>
          <w:szCs w:val="28"/>
          <w:highlight w:val="none"/>
        </w:rPr>
        <w:t>授权代表签字：</w:t>
      </w:r>
      <w:r>
        <w:rPr>
          <w:rFonts w:ascii="Times New Roman" w:hAnsi="Times New Roman" w:eastAsia="仿宋_GB2312"/>
          <w:color w:val="auto"/>
          <w:sz w:val="28"/>
          <w:szCs w:val="28"/>
          <w:highlight w:val="none"/>
          <w:u w:val="singl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磋商供应商名称（签章）：</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开户银行：</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44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帐号/行号：</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rPr>
          <w:b/>
          <w:color w:val="auto"/>
          <w:szCs w:val="21"/>
          <w:highlight w:val="none"/>
        </w:rPr>
      </w:pPr>
    </w:p>
    <w:p>
      <w:pPr>
        <w:rPr>
          <w:b/>
          <w:color w:val="auto"/>
          <w:szCs w:val="21"/>
          <w:highlight w:val="none"/>
        </w:rPr>
        <w:sectPr>
          <w:footerReference r:id="rId15" w:type="default"/>
          <w:pgSz w:w="11906" w:h="16838"/>
          <w:pgMar w:top="1418" w:right="1418" w:bottom="1418" w:left="1418" w:header="851" w:footer="992" w:gutter="0"/>
          <w:pgNumType w:start="25"/>
          <w:cols w:space="720" w:num="1"/>
          <w:docGrid w:type="lines" w:linePitch="312" w:charSpace="0"/>
        </w:sectPr>
      </w:pPr>
    </w:p>
    <w:p>
      <w:pPr>
        <w:outlineLvl w:val="0"/>
        <w:rPr>
          <w:color w:val="auto"/>
          <w:highlight w:val="none"/>
        </w:rPr>
      </w:pPr>
      <w:bookmarkStart w:id="27" w:name="_Toc24721"/>
      <w:r>
        <w:rPr>
          <w:rFonts w:hint="eastAsia" w:cs="Angsana New"/>
          <w:b/>
          <w:color w:val="auto"/>
          <w:kern w:val="0"/>
          <w:sz w:val="30"/>
          <w:szCs w:val="30"/>
          <w:highlight w:val="none"/>
          <w:lang w:bidi="ar"/>
        </w:rPr>
        <w:t>附件2</w:t>
      </w:r>
      <w:bookmarkEnd w:id="27"/>
      <w:r>
        <w:rPr>
          <w:rFonts w:hint="eastAsia" w:cs="Angsana New"/>
          <w:b/>
          <w:color w:val="auto"/>
          <w:kern w:val="0"/>
          <w:sz w:val="30"/>
          <w:szCs w:val="30"/>
          <w:highlight w:val="none"/>
          <w:lang w:bidi="ar"/>
        </w:rPr>
        <w:t xml:space="preserve">    </w:t>
      </w:r>
      <w:r>
        <w:rPr>
          <w:b/>
          <w:color w:val="auto"/>
          <w:szCs w:val="21"/>
          <w:highlight w:val="none"/>
        </w:rPr>
        <w:t xml:space="preserve">         </w:t>
      </w:r>
    </w:p>
    <w:p>
      <w:pPr>
        <w:pStyle w:val="31"/>
        <w:rPr>
          <w:color w:val="auto"/>
          <w:highlight w:val="none"/>
        </w:rPr>
      </w:pPr>
    </w:p>
    <w:p>
      <w:pPr>
        <w:jc w:val="center"/>
        <w:rPr>
          <w:rFonts w:hint="eastAsia"/>
          <w:b/>
          <w:color w:val="auto"/>
          <w:sz w:val="44"/>
          <w:szCs w:val="44"/>
          <w:highlight w:val="none"/>
        </w:rPr>
      </w:pPr>
      <w:r>
        <w:rPr>
          <w:rFonts w:hint="eastAsia"/>
          <w:b/>
          <w:color w:val="auto"/>
          <w:sz w:val="44"/>
          <w:szCs w:val="44"/>
          <w:highlight w:val="none"/>
        </w:rPr>
        <w:t>报</w:t>
      </w:r>
      <w:r>
        <w:rPr>
          <w:b/>
          <w:color w:val="auto"/>
          <w:sz w:val="44"/>
          <w:szCs w:val="44"/>
          <w:highlight w:val="none"/>
        </w:rPr>
        <w:t xml:space="preserve"> </w:t>
      </w:r>
      <w:r>
        <w:rPr>
          <w:rFonts w:hint="eastAsia"/>
          <w:b/>
          <w:color w:val="auto"/>
          <w:sz w:val="44"/>
          <w:szCs w:val="44"/>
          <w:highlight w:val="none"/>
        </w:rPr>
        <w:t>价</w:t>
      </w:r>
      <w:r>
        <w:rPr>
          <w:b/>
          <w:color w:val="auto"/>
          <w:sz w:val="44"/>
          <w:szCs w:val="44"/>
          <w:highlight w:val="none"/>
        </w:rPr>
        <w:t xml:space="preserve"> </w:t>
      </w:r>
      <w:r>
        <w:rPr>
          <w:rFonts w:hint="eastAsia"/>
          <w:b/>
          <w:color w:val="auto"/>
          <w:sz w:val="44"/>
          <w:szCs w:val="44"/>
          <w:highlight w:val="none"/>
        </w:rPr>
        <w:t>表</w:t>
      </w:r>
    </w:p>
    <w:p>
      <w:pPr>
        <w:pStyle w:val="31"/>
        <w:rPr>
          <w:color w:val="auto"/>
          <w:highlight w:val="none"/>
        </w:rPr>
      </w:pPr>
    </w:p>
    <w:p>
      <w:pPr>
        <w:rPr>
          <w:color w:val="auto"/>
          <w:sz w:val="28"/>
          <w:szCs w:val="28"/>
          <w:highlight w:val="none"/>
          <w:u w:val="single"/>
        </w:rPr>
      </w:pPr>
      <w:r>
        <w:rPr>
          <w:rFonts w:hint="eastAsia"/>
          <w:color w:val="auto"/>
          <w:sz w:val="28"/>
          <w:szCs w:val="28"/>
          <w:highlight w:val="none"/>
        </w:rPr>
        <w:t>项目名称</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rPr>
        <w:t>项目</w:t>
      </w:r>
      <w:r>
        <w:rPr>
          <w:color w:val="auto"/>
          <w:sz w:val="28"/>
          <w:szCs w:val="28"/>
          <w:highlight w:val="none"/>
          <w:u w:val="single"/>
        </w:rPr>
        <w:t xml:space="preserve">   </w:t>
      </w:r>
    </w:p>
    <w:p>
      <w:pPr>
        <w:pStyle w:val="31"/>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序号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340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内容</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133"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单位</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52"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数量</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7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总价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559"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c>
          <w:tcPr>
            <w:tcW w:w="1133" w:type="dxa"/>
            <w:noWrap w:val="0"/>
            <w:vAlign w:val="center"/>
          </w:tcPr>
          <w:p>
            <w:pPr>
              <w:keepNext w:val="0"/>
              <w:keepLines w:val="0"/>
              <w:suppressLineNumbers w:val="0"/>
              <w:spacing w:before="0" w:beforeAutospacing="0" w:after="0" w:afterAutospacing="0"/>
              <w:ind w:left="0" w:right="0" w:firstLine="280" w:firstLineChars="10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项</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8"/>
                <w:szCs w:val="28"/>
                <w:highlight w:val="none"/>
              </w:rPr>
            </w:pPr>
          </w:p>
        </w:tc>
        <w:tc>
          <w:tcPr>
            <w:tcW w:w="1700"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c>
          <w:tcPr>
            <w:tcW w:w="1559"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sz w:val="28"/>
                <w:szCs w:val="28"/>
                <w:highlight w:val="none"/>
              </w:rPr>
              <w:t>2</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服务期限</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noWrap w:val="0"/>
            <w:vAlign w:val="center"/>
          </w:tcPr>
          <w:p>
            <w:pPr>
              <w:pStyle w:val="31"/>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sz w:val="28"/>
                <w:szCs w:val="28"/>
                <w:highlight w:val="none"/>
              </w:rPr>
              <w:t>3</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开票方式</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pStyle w:val="31"/>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sz w:val="28"/>
                <w:szCs w:val="28"/>
                <w:highlight w:val="none"/>
              </w:rPr>
              <w:t>4</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付款方式</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sz w:val="28"/>
                <w:szCs w:val="28"/>
                <w:highlight w:val="none"/>
              </w:rPr>
              <w:t>5</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其他</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bl>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注：所有价格均用人民币表示，单位为元，精确到小数点后</w:t>
      </w:r>
      <w:r>
        <w:rPr>
          <w:color w:val="auto"/>
          <w:sz w:val="28"/>
          <w:szCs w:val="28"/>
          <w:highlight w:val="none"/>
        </w:rPr>
        <w:t>2</w:t>
      </w:r>
      <w:r>
        <w:rPr>
          <w:rFonts w:hint="eastAsia"/>
          <w:color w:val="auto"/>
          <w:sz w:val="28"/>
          <w:szCs w:val="28"/>
          <w:highlight w:val="none"/>
        </w:rPr>
        <w:t>位。</w:t>
      </w:r>
    </w:p>
    <w:p>
      <w:pPr>
        <w:pStyle w:val="31"/>
        <w:rPr>
          <w:color w:val="auto"/>
          <w:highlight w:val="none"/>
        </w:rPr>
      </w:pPr>
    </w:p>
    <w:p>
      <w:pPr>
        <w:rPr>
          <w:color w:val="auto"/>
          <w:sz w:val="28"/>
          <w:szCs w:val="28"/>
          <w:highlight w:val="none"/>
        </w:rPr>
      </w:pPr>
      <w:r>
        <w:rPr>
          <w:rFonts w:hint="eastAsia"/>
          <w:color w:val="auto"/>
          <w:sz w:val="28"/>
          <w:szCs w:val="28"/>
          <w:highlight w:val="none"/>
        </w:rPr>
        <w:t>授权代表（签字）</w:t>
      </w:r>
      <w:r>
        <w:rPr>
          <w:color w:val="auto"/>
          <w:sz w:val="28"/>
          <w:szCs w:val="28"/>
          <w:highlight w:val="none"/>
        </w:rPr>
        <w:t>:</w:t>
      </w:r>
    </w:p>
    <w:p>
      <w:pPr>
        <w:pStyle w:val="31"/>
        <w:rPr>
          <w:color w:val="auto"/>
          <w:highlight w:val="none"/>
        </w:rPr>
      </w:pPr>
    </w:p>
    <w:p>
      <w:pPr>
        <w:rPr>
          <w:color w:val="auto"/>
          <w:sz w:val="28"/>
          <w:szCs w:val="28"/>
          <w:highlight w:val="none"/>
          <w:u w:val="single"/>
        </w:rPr>
      </w:pPr>
      <w:r>
        <w:rPr>
          <w:rFonts w:hint="eastAsia"/>
          <w:color w:val="auto"/>
          <w:sz w:val="28"/>
          <w:szCs w:val="28"/>
          <w:highlight w:val="none"/>
        </w:rPr>
        <w:t>磋商供应商名称（签章）：</w:t>
      </w:r>
    </w:p>
    <w:p>
      <w:pPr>
        <w:rPr>
          <w:color w:val="auto"/>
          <w:sz w:val="28"/>
          <w:szCs w:val="28"/>
          <w:highlight w:val="none"/>
        </w:rPr>
      </w:pPr>
    </w:p>
    <w:p>
      <w:pPr>
        <w:rPr>
          <w:rFonts w:hint="eastAsia"/>
          <w:color w:val="auto"/>
          <w:sz w:val="28"/>
          <w:szCs w:val="28"/>
          <w:highlight w:val="none"/>
          <w:u w:val="single"/>
        </w:rPr>
      </w:pPr>
      <w:r>
        <w:rPr>
          <w:rFonts w:hint="eastAsia"/>
          <w:color w:val="auto"/>
          <w:sz w:val="28"/>
          <w:szCs w:val="28"/>
          <w:highlight w:val="none"/>
        </w:rPr>
        <w:t>报价时间：年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r>
        <w:rPr>
          <w:color w:val="auto"/>
          <w:sz w:val="28"/>
          <w:szCs w:val="28"/>
          <w:highlight w:val="none"/>
        </w:rPr>
        <w:t xml:space="preserve"> </w:t>
      </w: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outlineLvl w:val="0"/>
        <w:rPr>
          <w:rFonts w:cs="Angsana New"/>
          <w:b/>
          <w:color w:val="auto"/>
          <w:kern w:val="0"/>
          <w:sz w:val="30"/>
          <w:szCs w:val="30"/>
          <w:highlight w:val="none"/>
          <w:lang w:bidi="ar"/>
        </w:rPr>
      </w:pP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3</w:t>
      </w:r>
    </w:p>
    <w:p>
      <w:pPr>
        <w:pStyle w:val="11"/>
        <w:ind w:firstLine="241"/>
        <w:jc w:val="center"/>
        <w:rPr>
          <w:rFonts w:hint="eastAsia"/>
          <w:color w:val="auto"/>
          <w:highlight w:val="none"/>
          <w:lang w:bidi="ar"/>
        </w:rPr>
      </w:pPr>
      <w:r>
        <w:rPr>
          <w:rFonts w:hint="eastAsia"/>
          <w:color w:val="auto"/>
          <w:highlight w:val="none"/>
          <w:lang w:bidi="ar"/>
        </w:rPr>
        <w:t>商务响应表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商务条款</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商务条款响应内容</w:t>
            </w: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2"/>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2"/>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项目服务要求的商务条款填写：</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1、商务条款响应内容与竞标要求相同的为无偏离，商务条款响应内容高于竞标要求的为正偏离，低于竞标要求的为负偏离。</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outlineLvl w:val="0"/>
        <w:rPr>
          <w:rFonts w:hint="eastAsia" w:cs="Angsana New"/>
          <w:color w:val="auto"/>
          <w:kern w:val="0"/>
          <w:sz w:val="30"/>
          <w:szCs w:val="30"/>
          <w:highlight w:val="none"/>
          <w:lang w:bidi="ar"/>
        </w:rPr>
      </w:pPr>
      <w:r>
        <w:rPr>
          <w:color w:val="auto"/>
          <w:highlight w:val="none"/>
          <w:lang w:bidi="ar"/>
        </w:rPr>
        <w:br w:type="page"/>
      </w:r>
      <w:r>
        <w:rPr>
          <w:rFonts w:hint="eastAsia" w:cs="Angsana New"/>
          <w:b/>
          <w:color w:val="auto"/>
          <w:kern w:val="0"/>
          <w:sz w:val="30"/>
          <w:szCs w:val="30"/>
          <w:highlight w:val="none"/>
          <w:lang w:bidi="ar"/>
        </w:rPr>
        <w:t>附件4</w:t>
      </w:r>
    </w:p>
    <w:p>
      <w:pPr>
        <w:pStyle w:val="12"/>
        <w:spacing w:line="440" w:lineRule="exact"/>
        <w:ind w:firstLine="602" w:firstLineChars="200"/>
        <w:jc w:val="center"/>
        <w:rPr>
          <w:rFonts w:hint="eastAsia" w:cs="Angsana New"/>
          <w:b/>
          <w:color w:val="auto"/>
          <w:kern w:val="0"/>
          <w:sz w:val="30"/>
          <w:szCs w:val="30"/>
          <w:highlight w:val="none"/>
        </w:rPr>
      </w:pPr>
      <w:r>
        <w:rPr>
          <w:rFonts w:hint="eastAsia"/>
          <w:b/>
          <w:color w:val="auto"/>
          <w:kern w:val="0"/>
          <w:sz w:val="30"/>
          <w:szCs w:val="30"/>
          <w:highlight w:val="none"/>
          <w:lang w:bidi="ar"/>
        </w:rPr>
        <w:t>供应商认为必要提供的相关证明材料</w:t>
      </w:r>
    </w:p>
    <w:p>
      <w:pPr>
        <w:pStyle w:val="12"/>
        <w:spacing w:before="240"/>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（由供应商根据项目要求、评定成交的标准及自身情况自行编写）</w:t>
      </w: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numPr>
          <w:ilvl w:val="0"/>
          <w:numId w:val="2"/>
        </w:numPr>
        <w:spacing w:line="540" w:lineRule="exact"/>
        <w:jc w:val="cente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供应商资格及其竞标服务的证明文件</w:t>
      </w:r>
    </w:p>
    <w:p>
      <w:pPr>
        <w:pStyle w:val="31"/>
        <w:rPr>
          <w:color w:val="auto"/>
          <w:highlight w:val="none"/>
        </w:rPr>
      </w:pPr>
    </w:p>
    <w:p>
      <w:pPr>
        <w:spacing w:line="540" w:lineRule="exact"/>
        <w:jc w:val="center"/>
        <w:rPr>
          <w:rFonts w:hint="eastAsia" w:cs="宋体"/>
          <w:b/>
          <w:color w:val="auto"/>
          <w:sz w:val="30"/>
          <w:szCs w:val="30"/>
          <w:highlight w:val="none"/>
        </w:rPr>
      </w:pPr>
      <w:r>
        <w:rPr>
          <w:rFonts w:hint="eastAsia" w:ascii="宋体" w:hAnsi="宋体" w:cs="宋体"/>
          <w:b/>
          <w:color w:val="auto"/>
          <w:sz w:val="30"/>
          <w:szCs w:val="30"/>
          <w:highlight w:val="none"/>
          <w:lang w:bidi="ar"/>
        </w:rPr>
        <w:t>供应商资格证明文件格式</w:t>
      </w:r>
    </w:p>
    <w:p>
      <w:pPr>
        <w:outlineLvl w:val="0"/>
        <w:rPr>
          <w:rFonts w:hint="eastAsia" w:cs="Angsana New"/>
          <w:b/>
          <w:color w:val="auto"/>
          <w:kern w:val="0"/>
          <w:sz w:val="30"/>
          <w:szCs w:val="30"/>
          <w:highlight w:val="none"/>
          <w:lang w:bidi="ar"/>
        </w:rPr>
      </w:pPr>
      <w:r>
        <w:rPr>
          <w:rFonts w:hint="eastAsia" w:ascii="宋体" w:hAnsi="宋体" w:cs="宋体"/>
          <w:b/>
          <w:color w:val="auto"/>
          <w:kern w:val="0"/>
          <w:sz w:val="20"/>
          <w:szCs w:val="20"/>
          <w:highlight w:val="none"/>
          <w:lang w:bidi="ar"/>
        </w:rPr>
        <w:br w:type="page"/>
      </w:r>
      <w:r>
        <w:rPr>
          <w:rFonts w:hint="eastAsia" w:cs="Angsana New"/>
          <w:b/>
          <w:color w:val="auto"/>
          <w:kern w:val="0"/>
          <w:sz w:val="30"/>
          <w:szCs w:val="30"/>
          <w:highlight w:val="none"/>
          <w:lang w:bidi="ar"/>
        </w:rPr>
        <w:t>附件5</w:t>
      </w:r>
    </w:p>
    <w:p>
      <w:pPr>
        <w:spacing w:before="312" w:beforeLines="100" w:after="156" w:afterLines="50" w:line="520" w:lineRule="exact"/>
        <w:ind w:left="540"/>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法定代表人（负责人）证明书</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 年 月 日</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名：性     别：</w:t>
      </w:r>
    </w:p>
    <w:p>
      <w:pPr>
        <w:spacing w:line="520" w:lineRule="exact"/>
        <w:ind w:left="5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年    龄：职     务：</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系（供应商名称）的法定代表人（负责人）。</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附件：法定代表人（负责人）有效身份证正反面复印件</w:t>
      </w:r>
    </w:p>
    <w:p>
      <w:pPr>
        <w:spacing w:line="520" w:lineRule="exact"/>
        <w:ind w:left="540"/>
        <w:rPr>
          <w:rFonts w:ascii="仿宋_GB2312" w:hAnsi="仿宋_GB2312" w:eastAsia="仿宋_GB2312" w:cs="仿宋_GB2312"/>
          <w:color w:val="auto"/>
          <w:sz w:val="32"/>
          <w:szCs w:val="32"/>
          <w:highlight w:val="none"/>
        </w:rPr>
      </w:pPr>
    </w:p>
    <w:p>
      <w:pPr>
        <w:wordWrap w:val="0"/>
        <w:spacing w:line="520" w:lineRule="exact"/>
        <w:ind w:left="54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供应商（盖公章）：</w:t>
      </w:r>
    </w:p>
    <w:p>
      <w:pPr>
        <w:snapToGrid w:val="0"/>
        <w:spacing w:before="156" w:beforeLines="50" w:after="50" w:line="520" w:lineRule="exact"/>
        <w:ind w:firstLine="7040" w:firstLineChars="2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年月日</w:t>
      </w:r>
    </w:p>
    <w:p>
      <w:pPr>
        <w:snapToGrid w:val="0"/>
        <w:spacing w:before="156" w:beforeLines="50" w:after="50" w:line="360" w:lineRule="exact"/>
        <w:jc w:val="left"/>
        <w:rPr>
          <w:rFonts w:ascii="仿宋_GB2312" w:hAnsi="仿宋_GB2312" w:eastAsia="仿宋_GB2312" w:cs="仿宋_GB2312"/>
          <w:color w:val="auto"/>
          <w:szCs w:val="21"/>
          <w:highlight w:val="none"/>
        </w:rPr>
      </w:pPr>
    </w:p>
    <w:p>
      <w:pPr>
        <w:snapToGrid w:val="0"/>
        <w:spacing w:before="156" w:beforeLines="50" w:after="50"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自然人竞标的无需提供，联合体竞标的只需牵头人出具。</w:t>
      </w:r>
    </w:p>
    <w:p>
      <w:pPr>
        <w:snapToGrid w:val="0"/>
        <w:spacing w:before="156" w:beforeLines="50" w:after="50" w:line="360" w:lineRule="exact"/>
        <w:ind w:firstLine="480" w:firstLineChars="200"/>
        <w:jc w:val="left"/>
        <w:rPr>
          <w:rFonts w:ascii="宋体" w:hAnsi="宋体"/>
          <w:b/>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供应商为其他组织或自然人时，本竞争性磋商文件所称负责人是指参加竞标的其他组织营业执照上的负责人，本竞争性磋商文件所称自然人指参与竞标的自然人本人。</w:t>
      </w:r>
    </w:p>
    <w:p>
      <w:pPr>
        <w:spacing w:line="500" w:lineRule="exact"/>
        <w:rPr>
          <w:rFonts w:hint="eastAsia"/>
          <w:color w:val="auto"/>
          <w:highlight w:val="none"/>
        </w:rPr>
        <w:sectPr>
          <w:footerReference r:id="rId16" w:type="default"/>
          <w:pgSz w:w="11906" w:h="16838"/>
          <w:pgMar w:top="1418" w:right="1418" w:bottom="1418" w:left="1418" w:header="851" w:footer="992" w:gutter="0"/>
          <w:pgNumType w:start="29"/>
          <w:cols w:space="720" w:num="1"/>
          <w:docGrid w:type="lines" w:linePitch="312" w:charSpace="0"/>
        </w:sectPr>
      </w:pPr>
    </w:p>
    <w:p>
      <w:pPr>
        <w:outlineLvl w:val="0"/>
        <w:rPr>
          <w:rFonts w:cs="Angsana New"/>
          <w:b/>
          <w:color w:val="auto"/>
          <w:kern w:val="0"/>
          <w:sz w:val="30"/>
          <w:szCs w:val="30"/>
          <w:highlight w:val="none"/>
        </w:rPr>
      </w:pP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6</w:t>
      </w:r>
    </w:p>
    <w:p>
      <w:pPr>
        <w:pStyle w:val="12"/>
        <w:spacing w:line="560" w:lineRule="exact"/>
        <w:jc w:val="center"/>
        <w:rPr>
          <w:rFonts w:hint="eastAsia" w:ascii="宋体" w:hAnsi="宋体" w:cs="宋体"/>
          <w:b/>
          <w:color w:val="auto"/>
          <w:kern w:val="0"/>
          <w:sz w:val="44"/>
          <w:szCs w:val="44"/>
          <w:highlight w:val="none"/>
          <w:lang w:bidi="ar"/>
        </w:rPr>
      </w:pPr>
    </w:p>
    <w:p>
      <w:pPr>
        <w:pStyle w:val="12"/>
        <w:spacing w:line="560" w:lineRule="exact"/>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法定代表人（负责人）授权委托书格式</w:t>
      </w:r>
    </w:p>
    <w:p>
      <w:pPr>
        <w:pStyle w:val="12"/>
        <w:spacing w:line="560" w:lineRule="exact"/>
        <w:jc w:val="center"/>
        <w:rPr>
          <w:rFonts w:hint="eastAsia" w:ascii="宋体" w:hAnsi="宋体" w:cs="宋体"/>
          <w:b/>
          <w:color w:val="auto"/>
          <w:kern w:val="0"/>
          <w:sz w:val="44"/>
          <w:szCs w:val="44"/>
          <w:highlight w:val="none"/>
          <w:lang w:bidi="ar"/>
        </w:rPr>
      </w:pP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兹授权</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同志为我方参加</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项目竞标代理人，其代理权限为：</w:t>
      </w: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代理期限从    年    月   日至    年    月    日止</w:t>
      </w:r>
    </w:p>
    <w:p>
      <w:pPr>
        <w:pStyle w:val="12"/>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委托单位：  （单位公章）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法定代表人（负责人）：   （签字或盖章）</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签发日期：    年      月     日</w:t>
      </w:r>
    </w:p>
    <w:p>
      <w:pPr>
        <w:pStyle w:val="12"/>
        <w:spacing w:line="480" w:lineRule="exact"/>
        <w:rPr>
          <w:rFonts w:cs="Angsana New"/>
          <w:color w:val="auto"/>
          <w:kern w:val="0"/>
          <w:sz w:val="20"/>
          <w:szCs w:val="20"/>
          <w:highlight w:val="none"/>
        </w:rPr>
      </w:pPr>
      <w:r>
        <w:rPr>
          <w:rFonts w:cs="Angsana New"/>
          <w:color w:val="auto"/>
          <w:kern w:val="0"/>
          <w:sz w:val="20"/>
          <w:szCs w:val="20"/>
          <w:highlight w:val="non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3" w:hRule="atLeast"/>
          <w:jc w:val="center"/>
        </w:trPr>
        <w:tc>
          <w:tcPr>
            <w:tcW w:w="8244" w:type="dxa"/>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Times New Roman" w:cs="Times New Roman"/>
                <w:color w:val="auto"/>
                <w:sz w:val="24"/>
                <w:highlight w:val="none"/>
              </w:rPr>
            </w:pPr>
            <w:r>
              <w:rPr>
                <w:rFonts w:hint="eastAsia" w:ascii="宋体" w:hAnsi="宋体" w:cs="宋体"/>
                <w:color w:val="auto"/>
                <w:sz w:val="24"/>
                <w:highlight w:val="none"/>
              </w:rPr>
              <w:t>粘贴被授权人身份证（复印件）</w:t>
            </w:r>
          </w:p>
        </w:tc>
      </w:tr>
    </w:tbl>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hint="eastAsia" w:ascii="仿宋_GB2312" w:hAnsi="仿宋_GB2312" w:eastAsia="仿宋_GB2312" w:cs="仿宋_GB2312"/>
          <w:color w:val="auto"/>
          <w:kern w:val="0"/>
          <w:sz w:val="28"/>
          <w:szCs w:val="28"/>
          <w:highlight w:val="none"/>
        </w:rPr>
      </w:pPr>
      <w:r>
        <w:rPr>
          <w:rFonts w:cs="Angsana New"/>
          <w:color w:val="auto"/>
          <w:kern w:val="0"/>
          <w:sz w:val="20"/>
          <w:szCs w:val="20"/>
          <w:highlight w:val="none"/>
          <w:lang w:bidi="ar"/>
        </w:rPr>
        <w:t xml:space="preserve">   </w:t>
      </w:r>
      <w:r>
        <w:rPr>
          <w:rFonts w:hint="eastAsia" w:ascii="仿宋_GB2312" w:hAnsi="仿宋_GB2312" w:eastAsia="仿宋_GB2312" w:cs="仿宋_GB2312"/>
          <w:color w:val="auto"/>
          <w:kern w:val="0"/>
          <w:sz w:val="28"/>
          <w:szCs w:val="28"/>
          <w:highlight w:val="none"/>
          <w:lang w:bidi="ar"/>
        </w:rPr>
        <w:t xml:space="preserve"> 附：1、代理人工作单位：                       职务：</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身份证号码：                           性别：           年龄：</w:t>
      </w:r>
    </w:p>
    <w:p>
      <w:pPr>
        <w:pStyle w:val="12"/>
        <w:spacing w:line="480" w:lineRule="exact"/>
        <w:ind w:firstLine="84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2、委托人营业执照号码：</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地址：                                 单位性质：</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注册资金：                             经营范围：</w:t>
      </w:r>
    </w:p>
    <w:p>
      <w:pPr>
        <w:pStyle w:val="12"/>
        <w:spacing w:line="480" w:lineRule="exact"/>
        <w:rPr>
          <w:rFonts w:hint="eastAsia" w:ascii="仿宋_GB2312" w:hAnsi="仿宋_GB2312" w:eastAsia="仿宋_GB2312" w:cs="仿宋_GB2312"/>
          <w:color w:val="auto"/>
          <w:kern w:val="0"/>
          <w:sz w:val="28"/>
          <w:szCs w:val="28"/>
          <w:highlight w:val="none"/>
        </w:rPr>
      </w:pP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说明：</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1、法定代表人（负责人）授权委托书所签发的代理期限必须涵盖代理人所有签字为有效的时间。</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2、委托书内容填写要明确，文字要工整清楚，涂改无效。</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3、委托书不得转借、转让，不得买卖。</w:t>
      </w:r>
    </w:p>
    <w:p>
      <w:pPr>
        <w:pStyle w:val="12"/>
        <w:spacing w:line="560" w:lineRule="exact"/>
        <w:ind w:firstLine="840" w:firstLineChars="300"/>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代理人根据授权范围，以委托单位的名义签订合同，并将此委托书提交给对方作为合同附件。</w:t>
      </w:r>
    </w:p>
    <w:p>
      <w:pPr>
        <w:outlineLvl w:val="0"/>
        <w:rPr>
          <w:rFonts w:hint="eastAsia" w:cs="Angsana New"/>
          <w:b/>
          <w:color w:val="auto"/>
          <w:kern w:val="0"/>
          <w:sz w:val="30"/>
          <w:szCs w:val="30"/>
          <w:highlight w:val="none"/>
          <w:lang w:bidi="ar"/>
        </w:rPr>
      </w:pPr>
      <w:r>
        <w:rPr>
          <w:rFonts w:ascii="仿宋_GB2312" w:hAnsi="仿宋_GB2312" w:eastAsia="仿宋_GB2312" w:cs="仿宋_GB2312"/>
          <w:color w:val="auto"/>
          <w:kern w:val="0"/>
          <w:sz w:val="28"/>
          <w:szCs w:val="28"/>
          <w:highlight w:val="none"/>
          <w:lang w:bidi="ar"/>
        </w:rPr>
        <w:br w:type="page"/>
      </w: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7</w:t>
      </w:r>
    </w:p>
    <w:p>
      <w:pPr>
        <w:jc w:val="center"/>
        <w:rPr>
          <w:rFonts w:hint="eastAsia"/>
          <w:b/>
          <w:color w:val="auto"/>
          <w:sz w:val="44"/>
          <w:szCs w:val="44"/>
          <w:highlight w:val="none"/>
        </w:rPr>
      </w:pPr>
      <w:r>
        <w:rPr>
          <w:rFonts w:hint="eastAsia"/>
          <w:b/>
          <w:color w:val="auto"/>
          <w:sz w:val="44"/>
          <w:szCs w:val="44"/>
          <w:highlight w:val="none"/>
        </w:rPr>
        <w:t>廉洁承诺书</w:t>
      </w:r>
    </w:p>
    <w:p>
      <w:pPr>
        <w:pStyle w:val="31"/>
        <w:rPr>
          <w:color w:val="auto"/>
          <w:highlight w:val="none"/>
        </w:rPr>
      </w:pPr>
    </w:p>
    <w:p>
      <w:pPr>
        <w:autoSpaceDE w:val="0"/>
        <w:autoSpaceDN w:val="0"/>
        <w:adjustRightInd w:val="0"/>
        <w:spacing w:line="60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广西南博国际信息有限公司：</w:t>
      </w:r>
    </w:p>
    <w:p>
      <w:pPr>
        <w:pStyle w:val="31"/>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为积极配合贵公司进行的项目招标工作，有效遏制不公平竞争和违规违纪问题的发生，确保招标工作的公平、公正、公开，我们特向贵公司承诺如下事项：</w:t>
      </w:r>
    </w:p>
    <w:p>
      <w:pPr>
        <w:pStyle w:val="31"/>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1.自觉遵守国家法律法规及贵单位有关廉政建设制度。</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2.不使用不正当手段妨碍、排挤其它投标单位或串通投标。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3.按照招标文件规定的方式进行投标，不隐瞒本单位投标资质的真实情况，投标资质符合规定；保证不会以其他人名义投标或者以其他方式弄虚作假，骗取中标。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4.不将主体、关键性工作进行分包（包括贴牌生产、转包等）。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6.不向贵公司涉及招标的部门及个人支付好处费、介绍费；购置或提供通讯工具、交通工具、电脑等。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7.一旦发现相关人员在招标过程中有索要财物等不廉洁行为，坚决予以抵制，并及时向贵公司纪检监察部举报（举报电话：0771-2212021）。</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8.我方自愿将本承诺书作为投标文件及合同的附件，具有同等的法律效力。</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10.本承诺书自签署之日起生效。</w:t>
      </w:r>
    </w:p>
    <w:p>
      <w:pPr>
        <w:pStyle w:val="31"/>
        <w:spacing w:line="600" w:lineRule="exact"/>
        <w:rPr>
          <w:rFonts w:hint="eastAsia"/>
          <w:color w:val="auto"/>
          <w:highlight w:val="none"/>
        </w:rPr>
      </w:pPr>
    </w:p>
    <w:p>
      <w:pPr>
        <w:autoSpaceDE w:val="0"/>
        <w:autoSpaceDN w:val="0"/>
        <w:adjustRightInd w:val="0"/>
        <w:spacing w:line="600" w:lineRule="exact"/>
        <w:ind w:firstLine="4480" w:firstLineChars="1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投标单位（公章）：</w:t>
      </w:r>
    </w:p>
    <w:p>
      <w:pPr>
        <w:pStyle w:val="31"/>
        <w:spacing w:line="600" w:lineRule="exact"/>
        <w:rPr>
          <w:rFonts w:hint="eastAsia"/>
          <w:color w:val="auto"/>
          <w:highlight w:val="none"/>
        </w:rPr>
      </w:pPr>
    </w:p>
    <w:p>
      <w:pPr>
        <w:autoSpaceDE w:val="0"/>
        <w:autoSpaceDN w:val="0"/>
        <w:adjustRightInd w:val="0"/>
        <w:spacing w:line="600" w:lineRule="exact"/>
        <w:ind w:firstLine="1680" w:firstLineChars="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法定代表人（负责人）或授权代理人（签名）：</w:t>
      </w:r>
    </w:p>
    <w:p>
      <w:pPr>
        <w:pStyle w:val="31"/>
        <w:rPr>
          <w:rFonts w:hint="eastAsia"/>
          <w:color w:val="auto"/>
          <w:highlight w:val="none"/>
        </w:rPr>
      </w:pPr>
    </w:p>
    <w:p>
      <w:pPr>
        <w:pStyle w:val="7"/>
        <w:spacing w:line="400" w:lineRule="exact"/>
        <w:rPr>
          <w:rFonts w:ascii="仿宋_GB2312" w:hAnsi="仿宋_GB2312" w:eastAsia="仿宋_GB2312" w:cs="仿宋_GB2312"/>
          <w:color w:val="auto"/>
          <w:sz w:val="28"/>
          <w:szCs w:val="28"/>
          <w:highlight w:val="none"/>
        </w:rPr>
      </w:pPr>
      <w:r>
        <w:rPr>
          <w:color w:val="auto"/>
          <w:highlight w:val="none"/>
        </w:rPr>
        <w:t xml:space="preserve">                                             </w:t>
      </w:r>
      <w:r>
        <w:rPr>
          <w:rFonts w:hint="eastAsia" w:ascii="仿宋_GB2312" w:hAnsi="仿宋_GB2312" w:eastAsia="仿宋_GB2312" w:cs="仿宋_GB2312"/>
          <w:color w:val="auto"/>
          <w:sz w:val="28"/>
          <w:szCs w:val="28"/>
          <w:highlight w:val="none"/>
        </w:rPr>
        <w:t xml:space="preserve">  日期：   年  月  日</w:t>
      </w:r>
    </w:p>
    <w:p>
      <w:pPr>
        <w:outlineLvl w:val="0"/>
        <w:rPr>
          <w:rFonts w:hint="eastAsia" w:cs="Angsana New"/>
          <w:b/>
          <w:color w:val="auto"/>
          <w:sz w:val="30"/>
          <w:szCs w:val="30"/>
          <w:highlight w:val="none"/>
          <w:lang w:bidi="ar"/>
        </w:rPr>
      </w:pPr>
      <w:r>
        <w:rPr>
          <w:rFonts w:ascii="仿宋_GB2312" w:hAnsi="仿宋_GB2312" w:eastAsia="仿宋_GB2312" w:cs="仿宋_GB2312"/>
          <w:color w:val="auto"/>
          <w:sz w:val="28"/>
          <w:szCs w:val="28"/>
          <w:highlight w:val="none"/>
        </w:rPr>
        <w:br w:type="page"/>
      </w: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8</w:t>
      </w:r>
    </w:p>
    <w:p>
      <w:pPr>
        <w:pStyle w:val="12"/>
        <w:spacing w:line="560" w:lineRule="exact"/>
        <w:jc w:val="center"/>
        <w:rPr>
          <w:rFonts w:hint="eastAsia" w:ascii="宋体" w:hAnsi="宋体" w:cs="宋体"/>
          <w:b/>
          <w:color w:val="auto"/>
          <w:kern w:val="0"/>
          <w:sz w:val="30"/>
          <w:szCs w:val="30"/>
          <w:highlight w:val="none"/>
          <w:lang w:bidi="ar"/>
        </w:rPr>
      </w:pPr>
    </w:p>
    <w:p>
      <w:pPr>
        <w:pStyle w:val="12"/>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供应商认为必要提供的声明及文件资料</w:t>
      </w:r>
    </w:p>
    <w:p>
      <w:pPr>
        <w:pStyle w:val="12"/>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（格式自拟）</w:t>
      </w:r>
    </w:p>
    <w:p>
      <w:pPr>
        <w:pStyle w:val="12"/>
        <w:spacing w:before="240"/>
        <w:jc w:val="left"/>
        <w:rPr>
          <w:rFonts w:cs="Angsana New"/>
          <w:b/>
          <w:color w:val="auto"/>
          <w:kern w:val="0"/>
          <w:sz w:val="32"/>
          <w:szCs w:val="32"/>
          <w:highlight w:val="none"/>
          <w:lang w:bidi="ar"/>
        </w:rPr>
      </w:pPr>
    </w:p>
    <w:p>
      <w:pPr>
        <w:pStyle w:val="12"/>
        <w:spacing w:before="240"/>
        <w:jc w:val="left"/>
        <w:rPr>
          <w:rFonts w:hint="eastAsia" w:ascii="宋体" w:hAnsi="宋体" w:cs="宋体"/>
          <w:b/>
          <w:color w:val="auto"/>
          <w:kern w:val="0"/>
          <w:sz w:val="32"/>
          <w:szCs w:val="32"/>
          <w:highlight w:val="none"/>
          <w:lang w:bidi="ar"/>
        </w:rPr>
        <w:sectPr>
          <w:pgSz w:w="11906" w:h="16838"/>
          <w:pgMar w:top="1418" w:right="1418" w:bottom="1418" w:left="1418" w:header="851" w:footer="992" w:gutter="0"/>
          <w:pgNumType w:start="29"/>
          <w:cols w:space="720" w:num="1"/>
          <w:docGrid w:type="lines" w:linePitch="312" w:charSpace="0"/>
        </w:sect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cs="Angsana New"/>
          <w:b/>
          <w:color w:val="auto"/>
          <w:kern w:val="0"/>
          <w:sz w:val="32"/>
          <w:szCs w:val="32"/>
          <w:highlight w:val="none"/>
        </w:rPr>
      </w:pPr>
      <w:r>
        <w:rPr>
          <w:rFonts w:hint="eastAsia" w:ascii="宋体" w:hAnsi="宋体" w:cs="宋体"/>
          <w:b/>
          <w:color w:val="auto"/>
          <w:kern w:val="0"/>
          <w:sz w:val="32"/>
          <w:szCs w:val="32"/>
          <w:highlight w:val="none"/>
          <w:lang w:bidi="ar"/>
        </w:rPr>
        <w:t>三、技术文件</w:t>
      </w:r>
    </w:p>
    <w:p>
      <w:pPr>
        <w:pStyle w:val="12"/>
        <w:spacing w:before="240"/>
        <w:jc w:val="center"/>
        <w:rPr>
          <w:rFonts w:cs="Angsana New"/>
          <w:b/>
          <w:color w:val="auto"/>
          <w:kern w:val="0"/>
          <w:sz w:val="32"/>
          <w:szCs w:val="32"/>
          <w:highlight w:val="none"/>
        </w:rPr>
      </w:pPr>
      <w:r>
        <w:rPr>
          <w:rFonts w:cs="Angsana New"/>
          <w:b/>
          <w:color w:val="auto"/>
          <w:kern w:val="0"/>
          <w:sz w:val="32"/>
          <w:szCs w:val="32"/>
          <w:highlight w:val="none"/>
          <w:lang w:bidi="ar"/>
        </w:rPr>
        <w:t xml:space="preserve"> </w:t>
      </w:r>
    </w:p>
    <w:p>
      <w:pPr>
        <w:pStyle w:val="12"/>
        <w:spacing w:before="240"/>
        <w:jc w:val="center"/>
        <w:rPr>
          <w:rFonts w:cs="Angsana New"/>
          <w:b/>
          <w:color w:val="auto"/>
          <w:kern w:val="0"/>
          <w:sz w:val="32"/>
          <w:szCs w:val="32"/>
          <w:highlight w:val="none"/>
          <w:lang w:bidi="ar"/>
        </w:rPr>
        <w:sectPr>
          <w:footerReference r:id="rId17" w:type="default"/>
          <w:pgSz w:w="11906" w:h="16838"/>
          <w:pgMar w:top="1418" w:right="1418" w:bottom="1418" w:left="1418" w:header="851" w:footer="992" w:gutter="0"/>
          <w:pgNumType w:start="1"/>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9</w:t>
      </w:r>
    </w:p>
    <w:p>
      <w:pPr>
        <w:pStyle w:val="12"/>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1.技术响应表格式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850"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名称</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kern w:val="0"/>
                <w:sz w:val="20"/>
                <w:szCs w:val="20"/>
                <w:highlight w:val="none"/>
              </w:rPr>
            </w:pPr>
            <w:r>
              <w:rPr>
                <w:rFonts w:hint="eastAsia" w:ascii="Times New Roman" w:hAnsi="Times New Roman" w:cs="Times New Roman"/>
                <w:b/>
                <w:color w:val="auto"/>
                <w:kern w:val="0"/>
                <w:sz w:val="20"/>
                <w:szCs w:val="20"/>
                <w:highlight w:val="none"/>
              </w:rPr>
              <w:t>项目服务响应内容</w:t>
            </w: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2"/>
        <w:spacing w:line="240" w:lineRule="atLeast"/>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2"/>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项目服务要求的项目服务内容填写：</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1、项目服务响应内容与竞标要求相同的为无偏离，项目服务响应内容高于竞标要求的为正偏离，低于竞标要求的为负偏离。</w:t>
      </w:r>
    </w:p>
    <w:p>
      <w:pPr>
        <w:pStyle w:val="12"/>
        <w:spacing w:line="240" w:lineRule="atLeast"/>
        <w:ind w:left="420"/>
        <w:rPr>
          <w:rFonts w:ascii="宋体" w:hAnsi="宋体" w:cs="宋体"/>
          <w:color w:val="auto"/>
          <w:kern w:val="0"/>
          <w:sz w:val="20"/>
          <w:szCs w:val="20"/>
          <w:highlight w:val="none"/>
          <w:lang w:bidi="ar"/>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pStyle w:val="12"/>
        <w:spacing w:line="240" w:lineRule="atLeast"/>
        <w:ind w:left="420"/>
        <w:rPr>
          <w:rFonts w:hint="eastAsia" w:ascii="宋体" w:hAnsi="宋体" w:cs="Angsana New"/>
          <w:bCs/>
          <w:color w:val="auto"/>
          <w:kern w:val="0"/>
          <w:sz w:val="20"/>
          <w:szCs w:val="20"/>
          <w:highlight w:val="none"/>
        </w:rPr>
      </w:pPr>
    </w:p>
    <w:p>
      <w:pPr>
        <w:pStyle w:val="7"/>
        <w:spacing w:line="300" w:lineRule="auto"/>
        <w:outlineLvl w:val="0"/>
        <w:rPr>
          <w:rFonts w:hint="eastAsia" w:ascii="Times New Roman" w:hAnsi="Times New Roman"/>
          <w:b/>
          <w:color w:val="auto"/>
          <w:highlight w:val="none"/>
        </w:rPr>
        <w:sectPr>
          <w:footerReference r:id="rId18" w:type="default"/>
          <w:pgSz w:w="11906" w:h="16838"/>
          <w:pgMar w:top="1418" w:right="1418" w:bottom="1418" w:left="1418" w:header="851" w:footer="992" w:gutter="0"/>
          <w:pgNumType w:start="34"/>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10</w:t>
      </w:r>
    </w:p>
    <w:p>
      <w:pPr>
        <w:pStyle w:val="12"/>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2、服务承诺书格式</w:t>
      </w:r>
    </w:p>
    <w:p>
      <w:pPr>
        <w:pStyle w:val="12"/>
        <w:spacing w:before="240" w:line="360" w:lineRule="auto"/>
        <w:ind w:left="540" w:leftChars="257" w:right="998" w:rightChars="475" w:firstLine="400" w:firstLineChars="200"/>
        <w:jc w:val="center"/>
        <w:rPr>
          <w:rFonts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2"/>
        <w:jc w:val="center"/>
        <w:rPr>
          <w:rFonts w:cs="Angsana New"/>
          <w:color w:val="auto"/>
          <w:kern w:val="0"/>
          <w:sz w:val="20"/>
          <w:szCs w:val="20"/>
          <w:highlight w:val="none"/>
          <w:u w:val="single"/>
        </w:rPr>
      </w:pPr>
      <w:r>
        <w:rPr>
          <w:rFonts w:cs="Angsana New"/>
          <w:color w:val="auto"/>
          <w:kern w:val="0"/>
          <w:sz w:val="20"/>
          <w:szCs w:val="20"/>
          <w:highlight w:val="none"/>
          <w:u w:val="single"/>
          <w:lang w:bidi="ar"/>
        </w:rPr>
        <w:t xml:space="preserve"> </w:t>
      </w:r>
    </w:p>
    <w:p>
      <w:pPr>
        <w:pStyle w:val="12"/>
        <w:rPr>
          <w:rFonts w:cs="Angsana New"/>
          <w:color w:val="auto"/>
          <w:kern w:val="0"/>
          <w:sz w:val="20"/>
          <w:szCs w:val="20"/>
          <w:highlight w:val="none"/>
          <w:u w:val="single"/>
          <w:lang w:bidi="ar"/>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rPr>
          <w:rFonts w:hint="eastAsia" w:cs="Angsana New"/>
          <w:color w:val="auto"/>
          <w:kern w:val="0"/>
          <w:sz w:val="20"/>
          <w:szCs w:val="20"/>
          <w:highlight w:val="none"/>
          <w:u w:val="single"/>
        </w:rPr>
      </w:pPr>
    </w:p>
    <w:p>
      <w:pPr>
        <w:pStyle w:val="7"/>
        <w:spacing w:line="300" w:lineRule="auto"/>
        <w:outlineLvl w:val="0"/>
        <w:rPr>
          <w:rFonts w:hint="eastAsia" w:ascii="Times New Roman" w:hAnsi="Times New Roman"/>
          <w:b/>
          <w:color w:val="auto"/>
          <w:highlight w:val="none"/>
        </w:rPr>
        <w:sectPr>
          <w:footerReference r:id="rId19" w:type="default"/>
          <w:pgSz w:w="11906" w:h="16838"/>
          <w:pgMar w:top="1418" w:right="1418" w:bottom="1418" w:left="1418" w:header="851" w:footer="992" w:gutter="0"/>
          <w:pgNumType w:start="35"/>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11</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3</w:t>
      </w:r>
      <w:r>
        <w:rPr>
          <w:rFonts w:hint="eastAsia" w:ascii="宋体" w:hAnsi="宋体" w:cs="宋体"/>
          <w:b/>
          <w:color w:val="auto"/>
          <w:kern w:val="0"/>
          <w:sz w:val="30"/>
          <w:szCs w:val="30"/>
          <w:highlight w:val="none"/>
          <w:lang w:bidi="ar"/>
        </w:rPr>
        <w:t>、技术方案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rPr>
      </w:pPr>
      <w:r>
        <w:rPr>
          <w:rFonts w:hint="eastAsia" w:cs="宋体"/>
          <w:b/>
          <w:color w:val="auto"/>
          <w:sz w:val="36"/>
          <w:szCs w:val="36"/>
          <w:highlight w:val="none"/>
          <w:lang w:bidi="ar"/>
        </w:rPr>
        <w:t xml:space="preserve"> </w:t>
      </w: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7"/>
        <w:spacing w:line="300" w:lineRule="auto"/>
        <w:outlineLvl w:val="0"/>
        <w:rPr>
          <w:rFonts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2</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4</w:t>
      </w:r>
      <w:r>
        <w:rPr>
          <w:rFonts w:hint="eastAsia" w:ascii="宋体" w:hAnsi="宋体" w:cs="宋体"/>
          <w:b/>
          <w:color w:val="auto"/>
          <w:kern w:val="0"/>
          <w:sz w:val="30"/>
          <w:szCs w:val="30"/>
          <w:highlight w:val="none"/>
          <w:lang w:bidi="ar"/>
        </w:rPr>
        <w:t>、实施方案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2"/>
        <w:rPr>
          <w:rFonts w:hint="eastAsia"/>
          <w:color w:val="auto"/>
          <w:highlight w:val="none"/>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7"/>
        <w:spacing w:line="300" w:lineRule="auto"/>
        <w:outlineLvl w:val="0"/>
        <w:rPr>
          <w:rFonts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3</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5</w:t>
      </w:r>
      <w:r>
        <w:rPr>
          <w:rFonts w:hint="eastAsia" w:ascii="宋体" w:hAnsi="宋体" w:cs="宋体"/>
          <w:b/>
          <w:color w:val="auto"/>
          <w:kern w:val="0"/>
          <w:sz w:val="30"/>
          <w:szCs w:val="30"/>
          <w:highlight w:val="none"/>
          <w:lang w:bidi="ar"/>
        </w:rPr>
        <w:t>、</w:t>
      </w:r>
      <w:r>
        <w:rPr>
          <w:rFonts w:hint="eastAsia" w:ascii="宋体" w:hAnsi="宋体" w:cs="宋体"/>
          <w:b/>
          <w:color w:val="auto"/>
          <w:kern w:val="0"/>
          <w:sz w:val="30"/>
          <w:szCs w:val="30"/>
          <w:highlight w:val="none"/>
          <w:lang w:eastAsia="zh-CN" w:bidi="ar"/>
        </w:rPr>
        <w:t>售后服务</w:t>
      </w:r>
      <w:r>
        <w:rPr>
          <w:rFonts w:hint="eastAsia" w:ascii="宋体" w:hAnsi="宋体" w:cs="宋体"/>
          <w:b/>
          <w:color w:val="auto"/>
          <w:kern w:val="0"/>
          <w:sz w:val="30"/>
          <w:szCs w:val="30"/>
          <w:highlight w:val="none"/>
          <w:lang w:bidi="ar"/>
        </w:rPr>
        <w:t>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outlineLvl w:val="0"/>
        <w:rPr>
          <w:rFonts w:cs="Angsana New"/>
          <w:b/>
          <w:color w:val="auto"/>
          <w:kern w:val="0"/>
          <w:sz w:val="30"/>
          <w:szCs w:val="30"/>
          <w:highlight w:val="none"/>
          <w:lang w:bidi="ar"/>
        </w:rPr>
      </w:pPr>
      <w:r>
        <w:rPr>
          <w:rFonts w:hint="eastAsia" w:cs="Angsana New"/>
          <w:b/>
          <w:color w:val="auto"/>
          <w:kern w:val="0"/>
          <w:sz w:val="30"/>
          <w:szCs w:val="30"/>
          <w:highlight w:val="none"/>
          <w:lang w:bidi="ar"/>
        </w:rPr>
        <w:t>附件1</w:t>
      </w:r>
      <w:r>
        <w:rPr>
          <w:rFonts w:cs="Angsana New"/>
          <w:b/>
          <w:color w:val="auto"/>
          <w:kern w:val="0"/>
          <w:sz w:val="30"/>
          <w:szCs w:val="30"/>
          <w:highlight w:val="none"/>
          <w:lang w:bidi="ar"/>
        </w:rPr>
        <w:t>4</w:t>
      </w:r>
    </w:p>
    <w:p>
      <w:pPr>
        <w:pStyle w:val="12"/>
        <w:spacing w:before="240"/>
        <w:jc w:val="center"/>
        <w:rPr>
          <w:rFonts w:hint="eastAsia" w:ascii="宋体" w:hAnsi="宋体" w:cs="Angsana New"/>
          <w:bCs/>
          <w:color w:val="auto"/>
          <w:kern w:val="0"/>
          <w:sz w:val="20"/>
          <w:szCs w:val="20"/>
          <w:highlight w:val="none"/>
          <w:lang w:bidi="ar"/>
        </w:rPr>
      </w:pPr>
    </w:p>
    <w:p>
      <w:pPr>
        <w:pStyle w:val="12"/>
        <w:spacing w:before="240"/>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四、其他</w:t>
      </w:r>
    </w:p>
    <w:p>
      <w:pPr>
        <w:pStyle w:val="12"/>
        <w:spacing w:before="240"/>
        <w:jc w:val="center"/>
        <w:rPr>
          <w:rFonts w:hint="eastAsia" w:cs="Angsana New"/>
          <w:color w:val="auto"/>
          <w:kern w:val="0"/>
          <w:sz w:val="20"/>
          <w:szCs w:val="2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2"/>
        <w:spacing w:before="240"/>
        <w:jc w:val="center"/>
        <w:rPr>
          <w:rFonts w:hint="eastAsia" w:cs="Angsana New"/>
          <w:color w:val="auto"/>
          <w:kern w:val="0"/>
          <w:sz w:val="20"/>
          <w:szCs w:val="20"/>
          <w:highlight w:val="none"/>
          <w:lang w:bidi="ar"/>
        </w:rPr>
      </w:pPr>
    </w:p>
    <w:p>
      <w:pPr>
        <w:pStyle w:val="12"/>
        <w:spacing w:before="240"/>
        <w:jc w:val="center"/>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7"/>
        <w:spacing w:line="400" w:lineRule="exact"/>
        <w:rPr>
          <w:rFonts w:hint="eastAsia" w:ascii="仿宋_GB2312" w:hAnsi="仿宋_GB2312" w:eastAsia="仿宋_GB2312" w:cs="仿宋_GB2312"/>
          <w:color w:val="auto"/>
          <w:sz w:val="28"/>
          <w:szCs w:val="28"/>
          <w:highlight w:val="none"/>
        </w:rPr>
      </w:pPr>
    </w:p>
    <w:sectPr>
      <w:footerReference r:id="rId20" w:type="default"/>
      <w:pgSz w:w="11906" w:h="16838"/>
      <w:pgMar w:top="1418" w:right="1418" w:bottom="1418" w:left="1418" w:header="851" w:footer="992" w:gutter="0"/>
      <w:pgNumType w:start="3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C538F3-89E2-4870-A2D8-61D675F2C48C}"/>
  </w:font>
  <w:font w:name="Courier New">
    <w:panose1 w:val="02070309020205020404"/>
    <w:charset w:val="01"/>
    <w:family w:val="modern"/>
    <w:pitch w:val="default"/>
    <w:sig w:usb0="E0002EFF" w:usb1="C0007843" w:usb2="00000009" w:usb3="00000000" w:csb0="400001FF" w:csb1="FFFF0000"/>
    <w:embedRegular r:id="rId2" w:fontKey="{EB2AC637-D9E1-4B25-A3D1-0FB184136F4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embedRegular r:id="rId3" w:fontKey="{65DA7F5D-A486-4ACB-A820-E8F6B6D3A1EA}"/>
  </w:font>
  <w:font w:name="Microsoft Sans Serif">
    <w:panose1 w:val="020B0604020202020204"/>
    <w:charset w:val="00"/>
    <w:family w:val="auto"/>
    <w:pitch w:val="default"/>
    <w:sig w:usb0="E5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00000001" w:usb1="08000000" w:usb2="00000000" w:usb3="00000000" w:csb0="00040000" w:csb1="00000000"/>
    <w:embedRegular r:id="rId4" w:fontKey="{3D3B5F13-A629-4569-A6EA-16CD924C432C}"/>
  </w:font>
  <w:font w:name="??_GB2312">
    <w:altName w:val="Arial Unicode MS"/>
    <w:panose1 w:val="00000000000000000000"/>
    <w:charset w:val="00"/>
    <w:family w:val="auto"/>
    <w:pitch w:val="default"/>
    <w:sig w:usb0="00000000" w:usb1="00000000" w:usb2="00000000" w:usb3="00000000" w:csb0="00040001" w:csb1="00000000"/>
    <w:embedRegular r:id="rId5" w:fontKey="{E151FC93-3219-4956-A43E-11637A4ADE77}"/>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6" w:fontKey="{86217FE0-60BF-4EF2-82AD-4A294E8EBBC2}"/>
  </w:font>
  <w:font w:name="华文中宋">
    <w:panose1 w:val="02010600040101010101"/>
    <w:charset w:val="86"/>
    <w:family w:val="auto"/>
    <w:pitch w:val="default"/>
    <w:sig w:usb0="00000287" w:usb1="080F0000" w:usb2="00000000" w:usb3="00000000" w:csb0="0004009F" w:csb1="DFD70000"/>
    <w:embedRegular r:id="rId7" w:fontKey="{30CC85F1-DAE8-48A8-9C8F-4311853E4BB5}"/>
  </w:font>
  <w:font w:name="微软雅黑">
    <w:panose1 w:val="020B0503020204020204"/>
    <w:charset w:val="86"/>
    <w:family w:val="swiss"/>
    <w:pitch w:val="default"/>
    <w:sig w:usb0="80000287" w:usb1="2ACF3C50" w:usb2="00000016" w:usb3="00000000" w:csb0="0004001F" w:csb1="00000000"/>
    <w:embedRegular r:id="rId8" w:fontKey="{DEFB7230-6038-4CD6-B168-3FC8BEF0D445}"/>
  </w:font>
  <w:font w:name="仿宋">
    <w:panose1 w:val="02010609060101010101"/>
    <w:charset w:val="86"/>
    <w:family w:val="modern"/>
    <w:pitch w:val="default"/>
    <w:sig w:usb0="800002BF" w:usb1="38CF7CFA" w:usb2="00000016" w:usb3="00000000" w:csb0="00040001" w:csb1="00000000"/>
    <w:embedRegular r:id="rId9" w:fontKey="{7BEE30D4-14FE-4D0F-A746-F0A98021E60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pPr>
      <w:pStyle w:val="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p>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35</w:t>
                          </w:r>
                          <w:r>
                            <w:rPr>
                              <w:lang w:val="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Eyj8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kVJZYZnPj554/zrz/n399J&#10;tUw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0TKPyQEAAJs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mc:Fallback>
      </mc:AlternateContent>
    </w:r>
  </w:p>
  <w:p>
    <w:pPr>
      <w:pStyle w:val="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fP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l89yQEAAJs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txbxContent>
              </v:textbox>
            </v:shape>
          </w:pict>
        </mc:Fallback>
      </mc:AlternateConten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082"/>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AF733"/>
    <w:multiLevelType w:val="singleLevel"/>
    <w:tmpl w:val="9FEAF733"/>
    <w:lvl w:ilvl="0" w:tentative="0">
      <w:start w:val="1"/>
      <w:numFmt w:val="chineseCounting"/>
      <w:suff w:val="nothing"/>
      <w:lvlText w:val="%1、"/>
      <w:lvlJc w:val="left"/>
      <w:rPr>
        <w:rFonts w:hint="eastAsia"/>
      </w:rPr>
    </w:lvl>
  </w:abstractNum>
  <w:abstractNum w:abstractNumId="1">
    <w:nsid w:val="080D22EF"/>
    <w:multiLevelType w:val="singleLevel"/>
    <w:tmpl w:val="080D22EF"/>
    <w:lvl w:ilvl="0" w:tentative="0">
      <w:start w:val="1"/>
      <w:numFmt w:val="chineseCounting"/>
      <w:suff w:val="space"/>
      <w:lvlText w:val="第%1条"/>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9F"/>
    <w:rsid w:val="000004BF"/>
    <w:rsid w:val="000007D2"/>
    <w:rsid w:val="0000133B"/>
    <w:rsid w:val="00001E54"/>
    <w:rsid w:val="00002A5B"/>
    <w:rsid w:val="00006F31"/>
    <w:rsid w:val="00007C1A"/>
    <w:rsid w:val="00011544"/>
    <w:rsid w:val="00012634"/>
    <w:rsid w:val="00014418"/>
    <w:rsid w:val="000151D2"/>
    <w:rsid w:val="000159D8"/>
    <w:rsid w:val="00016825"/>
    <w:rsid w:val="00016EA8"/>
    <w:rsid w:val="00017A9C"/>
    <w:rsid w:val="00022E2D"/>
    <w:rsid w:val="0002313C"/>
    <w:rsid w:val="00023B4E"/>
    <w:rsid w:val="00024D6C"/>
    <w:rsid w:val="0002526A"/>
    <w:rsid w:val="00025357"/>
    <w:rsid w:val="00025A8A"/>
    <w:rsid w:val="00030C6E"/>
    <w:rsid w:val="00031803"/>
    <w:rsid w:val="00032530"/>
    <w:rsid w:val="0003254B"/>
    <w:rsid w:val="000339FA"/>
    <w:rsid w:val="00033DFC"/>
    <w:rsid w:val="0003400F"/>
    <w:rsid w:val="00035491"/>
    <w:rsid w:val="0003734E"/>
    <w:rsid w:val="00037E43"/>
    <w:rsid w:val="0004111C"/>
    <w:rsid w:val="00041E95"/>
    <w:rsid w:val="00042A74"/>
    <w:rsid w:val="00042AEC"/>
    <w:rsid w:val="00042B55"/>
    <w:rsid w:val="00044211"/>
    <w:rsid w:val="000449CC"/>
    <w:rsid w:val="00044E3D"/>
    <w:rsid w:val="00047313"/>
    <w:rsid w:val="00047F89"/>
    <w:rsid w:val="00050F96"/>
    <w:rsid w:val="000511B3"/>
    <w:rsid w:val="000512F3"/>
    <w:rsid w:val="0005216D"/>
    <w:rsid w:val="00052240"/>
    <w:rsid w:val="00052EF0"/>
    <w:rsid w:val="000533F9"/>
    <w:rsid w:val="00053919"/>
    <w:rsid w:val="0005483A"/>
    <w:rsid w:val="00055F37"/>
    <w:rsid w:val="0005759F"/>
    <w:rsid w:val="00060965"/>
    <w:rsid w:val="00060C9B"/>
    <w:rsid w:val="00060F63"/>
    <w:rsid w:val="00061BFC"/>
    <w:rsid w:val="00061EA1"/>
    <w:rsid w:val="00062DB1"/>
    <w:rsid w:val="00063C10"/>
    <w:rsid w:val="0006447D"/>
    <w:rsid w:val="000646D8"/>
    <w:rsid w:val="00066716"/>
    <w:rsid w:val="00067F19"/>
    <w:rsid w:val="00070950"/>
    <w:rsid w:val="00071853"/>
    <w:rsid w:val="00071957"/>
    <w:rsid w:val="00073BD2"/>
    <w:rsid w:val="00074132"/>
    <w:rsid w:val="00074AFF"/>
    <w:rsid w:val="00075D26"/>
    <w:rsid w:val="000766AF"/>
    <w:rsid w:val="00077A71"/>
    <w:rsid w:val="00080E0D"/>
    <w:rsid w:val="00083245"/>
    <w:rsid w:val="000833BF"/>
    <w:rsid w:val="00084ECF"/>
    <w:rsid w:val="00085808"/>
    <w:rsid w:val="000900E4"/>
    <w:rsid w:val="00090143"/>
    <w:rsid w:val="000917C4"/>
    <w:rsid w:val="00093A8D"/>
    <w:rsid w:val="00093B1F"/>
    <w:rsid w:val="00095661"/>
    <w:rsid w:val="000A2992"/>
    <w:rsid w:val="000A50DB"/>
    <w:rsid w:val="000A6154"/>
    <w:rsid w:val="000A7265"/>
    <w:rsid w:val="000A73C3"/>
    <w:rsid w:val="000A785D"/>
    <w:rsid w:val="000A7EF9"/>
    <w:rsid w:val="000B2086"/>
    <w:rsid w:val="000B2283"/>
    <w:rsid w:val="000B2493"/>
    <w:rsid w:val="000B3FC7"/>
    <w:rsid w:val="000B5906"/>
    <w:rsid w:val="000B6074"/>
    <w:rsid w:val="000C33A8"/>
    <w:rsid w:val="000C3CF6"/>
    <w:rsid w:val="000C49F8"/>
    <w:rsid w:val="000C4EBF"/>
    <w:rsid w:val="000C5E9F"/>
    <w:rsid w:val="000C6241"/>
    <w:rsid w:val="000C7727"/>
    <w:rsid w:val="000D013F"/>
    <w:rsid w:val="000D143E"/>
    <w:rsid w:val="000D249D"/>
    <w:rsid w:val="000D25C6"/>
    <w:rsid w:val="000D31D9"/>
    <w:rsid w:val="000D3735"/>
    <w:rsid w:val="000D3EFD"/>
    <w:rsid w:val="000D62FB"/>
    <w:rsid w:val="000D64B9"/>
    <w:rsid w:val="000D72F0"/>
    <w:rsid w:val="000D7DD7"/>
    <w:rsid w:val="000E1F5D"/>
    <w:rsid w:val="000E4A4A"/>
    <w:rsid w:val="000E57ED"/>
    <w:rsid w:val="000E5EC1"/>
    <w:rsid w:val="000E66CE"/>
    <w:rsid w:val="000E7C93"/>
    <w:rsid w:val="000F068F"/>
    <w:rsid w:val="000F0C01"/>
    <w:rsid w:val="000F20CD"/>
    <w:rsid w:val="000F2B69"/>
    <w:rsid w:val="000F37D8"/>
    <w:rsid w:val="000F391E"/>
    <w:rsid w:val="000F4D55"/>
    <w:rsid w:val="000F59BE"/>
    <w:rsid w:val="000F65CC"/>
    <w:rsid w:val="000F7319"/>
    <w:rsid w:val="001008C1"/>
    <w:rsid w:val="00100B42"/>
    <w:rsid w:val="001010BA"/>
    <w:rsid w:val="001012F4"/>
    <w:rsid w:val="00103837"/>
    <w:rsid w:val="00103CA9"/>
    <w:rsid w:val="00104AF5"/>
    <w:rsid w:val="001054A3"/>
    <w:rsid w:val="00105ED8"/>
    <w:rsid w:val="00110F3E"/>
    <w:rsid w:val="00112196"/>
    <w:rsid w:val="001123B7"/>
    <w:rsid w:val="00113768"/>
    <w:rsid w:val="00115196"/>
    <w:rsid w:val="0011533F"/>
    <w:rsid w:val="00115AB9"/>
    <w:rsid w:val="0011674D"/>
    <w:rsid w:val="00117E4B"/>
    <w:rsid w:val="00120C4A"/>
    <w:rsid w:val="001241FA"/>
    <w:rsid w:val="00124C7E"/>
    <w:rsid w:val="00125CAC"/>
    <w:rsid w:val="00125EAB"/>
    <w:rsid w:val="00127988"/>
    <w:rsid w:val="00130263"/>
    <w:rsid w:val="00131451"/>
    <w:rsid w:val="0013248D"/>
    <w:rsid w:val="001335E6"/>
    <w:rsid w:val="0013392A"/>
    <w:rsid w:val="001352E2"/>
    <w:rsid w:val="00135864"/>
    <w:rsid w:val="00136ED6"/>
    <w:rsid w:val="00141CB3"/>
    <w:rsid w:val="00142107"/>
    <w:rsid w:val="0014286A"/>
    <w:rsid w:val="001432B5"/>
    <w:rsid w:val="00143565"/>
    <w:rsid w:val="0014358F"/>
    <w:rsid w:val="00143EC9"/>
    <w:rsid w:val="00147067"/>
    <w:rsid w:val="00150A9B"/>
    <w:rsid w:val="001516BA"/>
    <w:rsid w:val="0015349D"/>
    <w:rsid w:val="001541E3"/>
    <w:rsid w:val="00157153"/>
    <w:rsid w:val="001600F4"/>
    <w:rsid w:val="00160ED6"/>
    <w:rsid w:val="001615E9"/>
    <w:rsid w:val="00163ADA"/>
    <w:rsid w:val="00164D66"/>
    <w:rsid w:val="001656B7"/>
    <w:rsid w:val="00166BD5"/>
    <w:rsid w:val="00166D2E"/>
    <w:rsid w:val="001676D6"/>
    <w:rsid w:val="001704AA"/>
    <w:rsid w:val="001711C4"/>
    <w:rsid w:val="0017277D"/>
    <w:rsid w:val="001738A6"/>
    <w:rsid w:val="00173E11"/>
    <w:rsid w:val="001748CE"/>
    <w:rsid w:val="00175491"/>
    <w:rsid w:val="001775C1"/>
    <w:rsid w:val="00177A0C"/>
    <w:rsid w:val="001808A6"/>
    <w:rsid w:val="00181CA3"/>
    <w:rsid w:val="00181E90"/>
    <w:rsid w:val="0018204D"/>
    <w:rsid w:val="0018210B"/>
    <w:rsid w:val="00184E2A"/>
    <w:rsid w:val="00186998"/>
    <w:rsid w:val="00187AC0"/>
    <w:rsid w:val="00187B9F"/>
    <w:rsid w:val="00187FD7"/>
    <w:rsid w:val="00191379"/>
    <w:rsid w:val="00192B0B"/>
    <w:rsid w:val="00193CE3"/>
    <w:rsid w:val="00194024"/>
    <w:rsid w:val="0019513F"/>
    <w:rsid w:val="00196A88"/>
    <w:rsid w:val="00196B77"/>
    <w:rsid w:val="00196CB9"/>
    <w:rsid w:val="001A04E0"/>
    <w:rsid w:val="001A05F5"/>
    <w:rsid w:val="001A0B08"/>
    <w:rsid w:val="001A29C0"/>
    <w:rsid w:val="001A2CC7"/>
    <w:rsid w:val="001A3F29"/>
    <w:rsid w:val="001A4C11"/>
    <w:rsid w:val="001A5E3A"/>
    <w:rsid w:val="001A690B"/>
    <w:rsid w:val="001B03EA"/>
    <w:rsid w:val="001B3694"/>
    <w:rsid w:val="001B3C6C"/>
    <w:rsid w:val="001B4611"/>
    <w:rsid w:val="001B4D39"/>
    <w:rsid w:val="001B500D"/>
    <w:rsid w:val="001B5AD4"/>
    <w:rsid w:val="001B76AB"/>
    <w:rsid w:val="001C16ED"/>
    <w:rsid w:val="001C4454"/>
    <w:rsid w:val="001C48B8"/>
    <w:rsid w:val="001C4C63"/>
    <w:rsid w:val="001C4D54"/>
    <w:rsid w:val="001C681E"/>
    <w:rsid w:val="001C705A"/>
    <w:rsid w:val="001C760B"/>
    <w:rsid w:val="001D00EB"/>
    <w:rsid w:val="001D2B76"/>
    <w:rsid w:val="001D2D94"/>
    <w:rsid w:val="001D4259"/>
    <w:rsid w:val="001D4359"/>
    <w:rsid w:val="001D4C6F"/>
    <w:rsid w:val="001D5ACB"/>
    <w:rsid w:val="001D677C"/>
    <w:rsid w:val="001D76F6"/>
    <w:rsid w:val="001E0F71"/>
    <w:rsid w:val="001E1D12"/>
    <w:rsid w:val="001E229E"/>
    <w:rsid w:val="001E3D88"/>
    <w:rsid w:val="001E3DBA"/>
    <w:rsid w:val="001E44BE"/>
    <w:rsid w:val="001E5636"/>
    <w:rsid w:val="001E5995"/>
    <w:rsid w:val="001E5A02"/>
    <w:rsid w:val="001F00C9"/>
    <w:rsid w:val="001F087A"/>
    <w:rsid w:val="001F099B"/>
    <w:rsid w:val="001F141E"/>
    <w:rsid w:val="001F3C91"/>
    <w:rsid w:val="001F433D"/>
    <w:rsid w:val="001F44B9"/>
    <w:rsid w:val="001F5EBE"/>
    <w:rsid w:val="001F7C58"/>
    <w:rsid w:val="00201292"/>
    <w:rsid w:val="00201D6D"/>
    <w:rsid w:val="002047CA"/>
    <w:rsid w:val="00210D9D"/>
    <w:rsid w:val="00212A4F"/>
    <w:rsid w:val="002133FA"/>
    <w:rsid w:val="00214211"/>
    <w:rsid w:val="00214281"/>
    <w:rsid w:val="002144A1"/>
    <w:rsid w:val="00214ED5"/>
    <w:rsid w:val="0021508C"/>
    <w:rsid w:val="00215109"/>
    <w:rsid w:val="002156FF"/>
    <w:rsid w:val="00216105"/>
    <w:rsid w:val="002208D3"/>
    <w:rsid w:val="00220A33"/>
    <w:rsid w:val="00222064"/>
    <w:rsid w:val="0022208E"/>
    <w:rsid w:val="00224586"/>
    <w:rsid w:val="0022568B"/>
    <w:rsid w:val="00225B0D"/>
    <w:rsid w:val="0022637A"/>
    <w:rsid w:val="00226CF1"/>
    <w:rsid w:val="00227927"/>
    <w:rsid w:val="00230007"/>
    <w:rsid w:val="00230A33"/>
    <w:rsid w:val="00232763"/>
    <w:rsid w:val="00233F3C"/>
    <w:rsid w:val="0023444F"/>
    <w:rsid w:val="00234C29"/>
    <w:rsid w:val="0023793A"/>
    <w:rsid w:val="00240725"/>
    <w:rsid w:val="00240E30"/>
    <w:rsid w:val="00241F4D"/>
    <w:rsid w:val="002430CC"/>
    <w:rsid w:val="00245D1D"/>
    <w:rsid w:val="00245E8C"/>
    <w:rsid w:val="0024794E"/>
    <w:rsid w:val="002505AD"/>
    <w:rsid w:val="00251718"/>
    <w:rsid w:val="00251782"/>
    <w:rsid w:val="00252FB4"/>
    <w:rsid w:val="00253332"/>
    <w:rsid w:val="0025412D"/>
    <w:rsid w:val="002541E1"/>
    <w:rsid w:val="00255368"/>
    <w:rsid w:val="0025558C"/>
    <w:rsid w:val="002562EC"/>
    <w:rsid w:val="00256378"/>
    <w:rsid w:val="00256D5A"/>
    <w:rsid w:val="0025770C"/>
    <w:rsid w:val="00261B65"/>
    <w:rsid w:val="0026387D"/>
    <w:rsid w:val="00264751"/>
    <w:rsid w:val="002653B5"/>
    <w:rsid w:val="00265987"/>
    <w:rsid w:val="00265C49"/>
    <w:rsid w:val="002678E1"/>
    <w:rsid w:val="00271F56"/>
    <w:rsid w:val="00272EE2"/>
    <w:rsid w:val="0027337F"/>
    <w:rsid w:val="00273F56"/>
    <w:rsid w:val="002749DE"/>
    <w:rsid w:val="00274B9A"/>
    <w:rsid w:val="00274E22"/>
    <w:rsid w:val="00274F58"/>
    <w:rsid w:val="002759E7"/>
    <w:rsid w:val="00280912"/>
    <w:rsid w:val="0028249F"/>
    <w:rsid w:val="00282A71"/>
    <w:rsid w:val="00282BF2"/>
    <w:rsid w:val="00282F53"/>
    <w:rsid w:val="0028309A"/>
    <w:rsid w:val="002844B7"/>
    <w:rsid w:val="002849A1"/>
    <w:rsid w:val="00285167"/>
    <w:rsid w:val="0028794D"/>
    <w:rsid w:val="00290984"/>
    <w:rsid w:val="002917CE"/>
    <w:rsid w:val="002927A5"/>
    <w:rsid w:val="00293131"/>
    <w:rsid w:val="0029410F"/>
    <w:rsid w:val="0029523B"/>
    <w:rsid w:val="0029739B"/>
    <w:rsid w:val="002976F6"/>
    <w:rsid w:val="0029798F"/>
    <w:rsid w:val="00297B33"/>
    <w:rsid w:val="002A0547"/>
    <w:rsid w:val="002A1ACC"/>
    <w:rsid w:val="002A3C40"/>
    <w:rsid w:val="002A4D2E"/>
    <w:rsid w:val="002A5019"/>
    <w:rsid w:val="002A5C26"/>
    <w:rsid w:val="002A62C8"/>
    <w:rsid w:val="002A7845"/>
    <w:rsid w:val="002A7D63"/>
    <w:rsid w:val="002B010E"/>
    <w:rsid w:val="002B12D5"/>
    <w:rsid w:val="002B20D3"/>
    <w:rsid w:val="002B2C41"/>
    <w:rsid w:val="002B34BF"/>
    <w:rsid w:val="002B4F20"/>
    <w:rsid w:val="002B6429"/>
    <w:rsid w:val="002B7A0C"/>
    <w:rsid w:val="002B7B35"/>
    <w:rsid w:val="002C06FF"/>
    <w:rsid w:val="002C1AAD"/>
    <w:rsid w:val="002C1D22"/>
    <w:rsid w:val="002C30DB"/>
    <w:rsid w:val="002C3325"/>
    <w:rsid w:val="002C54C8"/>
    <w:rsid w:val="002C6AD7"/>
    <w:rsid w:val="002D149A"/>
    <w:rsid w:val="002D1D58"/>
    <w:rsid w:val="002D1EDF"/>
    <w:rsid w:val="002D2F03"/>
    <w:rsid w:val="002D3F33"/>
    <w:rsid w:val="002D6433"/>
    <w:rsid w:val="002D7379"/>
    <w:rsid w:val="002E0053"/>
    <w:rsid w:val="002E0798"/>
    <w:rsid w:val="002E0A04"/>
    <w:rsid w:val="002E1FF4"/>
    <w:rsid w:val="002E27A2"/>
    <w:rsid w:val="002E2E26"/>
    <w:rsid w:val="002E48DE"/>
    <w:rsid w:val="002E5974"/>
    <w:rsid w:val="002E7D44"/>
    <w:rsid w:val="002F10C0"/>
    <w:rsid w:val="002F2767"/>
    <w:rsid w:val="002F3CAD"/>
    <w:rsid w:val="002F4460"/>
    <w:rsid w:val="002F5397"/>
    <w:rsid w:val="002F5ECA"/>
    <w:rsid w:val="0030290B"/>
    <w:rsid w:val="00306581"/>
    <w:rsid w:val="00307659"/>
    <w:rsid w:val="00310C49"/>
    <w:rsid w:val="00311731"/>
    <w:rsid w:val="00312150"/>
    <w:rsid w:val="00313329"/>
    <w:rsid w:val="00314288"/>
    <w:rsid w:val="003148F8"/>
    <w:rsid w:val="003153B3"/>
    <w:rsid w:val="00321774"/>
    <w:rsid w:val="00321DC2"/>
    <w:rsid w:val="003229AB"/>
    <w:rsid w:val="00322DDA"/>
    <w:rsid w:val="00323D37"/>
    <w:rsid w:val="003277FF"/>
    <w:rsid w:val="00327823"/>
    <w:rsid w:val="00327DDA"/>
    <w:rsid w:val="00331601"/>
    <w:rsid w:val="00332EE5"/>
    <w:rsid w:val="003338C7"/>
    <w:rsid w:val="00334C29"/>
    <w:rsid w:val="00335512"/>
    <w:rsid w:val="00337BCA"/>
    <w:rsid w:val="003447AC"/>
    <w:rsid w:val="0034569D"/>
    <w:rsid w:val="0034611F"/>
    <w:rsid w:val="003472D3"/>
    <w:rsid w:val="003502ED"/>
    <w:rsid w:val="003527DC"/>
    <w:rsid w:val="003528DA"/>
    <w:rsid w:val="0035334E"/>
    <w:rsid w:val="00353B02"/>
    <w:rsid w:val="00353F12"/>
    <w:rsid w:val="003553C8"/>
    <w:rsid w:val="00355780"/>
    <w:rsid w:val="00356B81"/>
    <w:rsid w:val="00357473"/>
    <w:rsid w:val="0036024C"/>
    <w:rsid w:val="00362053"/>
    <w:rsid w:val="0036295C"/>
    <w:rsid w:val="00363DC3"/>
    <w:rsid w:val="00363FFD"/>
    <w:rsid w:val="00364088"/>
    <w:rsid w:val="00364BF1"/>
    <w:rsid w:val="00364F36"/>
    <w:rsid w:val="00365FB5"/>
    <w:rsid w:val="003667A1"/>
    <w:rsid w:val="00366B4D"/>
    <w:rsid w:val="003671AA"/>
    <w:rsid w:val="00371587"/>
    <w:rsid w:val="003718A5"/>
    <w:rsid w:val="0037231F"/>
    <w:rsid w:val="00372B35"/>
    <w:rsid w:val="00372C9B"/>
    <w:rsid w:val="00373EBC"/>
    <w:rsid w:val="00374E01"/>
    <w:rsid w:val="0037561D"/>
    <w:rsid w:val="00376B72"/>
    <w:rsid w:val="00377747"/>
    <w:rsid w:val="00377AFB"/>
    <w:rsid w:val="00377C09"/>
    <w:rsid w:val="00377E8F"/>
    <w:rsid w:val="003808EA"/>
    <w:rsid w:val="0038145F"/>
    <w:rsid w:val="003817E6"/>
    <w:rsid w:val="003827A5"/>
    <w:rsid w:val="003830D9"/>
    <w:rsid w:val="003832CB"/>
    <w:rsid w:val="003834D5"/>
    <w:rsid w:val="00383592"/>
    <w:rsid w:val="00383666"/>
    <w:rsid w:val="00384E84"/>
    <w:rsid w:val="00386BBD"/>
    <w:rsid w:val="003872AC"/>
    <w:rsid w:val="00387D05"/>
    <w:rsid w:val="00387E4B"/>
    <w:rsid w:val="00387F30"/>
    <w:rsid w:val="00391A83"/>
    <w:rsid w:val="00393C7D"/>
    <w:rsid w:val="00395D57"/>
    <w:rsid w:val="00396DBD"/>
    <w:rsid w:val="003972B9"/>
    <w:rsid w:val="00397CF1"/>
    <w:rsid w:val="003A010F"/>
    <w:rsid w:val="003A0F08"/>
    <w:rsid w:val="003A1F4D"/>
    <w:rsid w:val="003A30A3"/>
    <w:rsid w:val="003A5BCE"/>
    <w:rsid w:val="003A60F0"/>
    <w:rsid w:val="003A61AE"/>
    <w:rsid w:val="003A679E"/>
    <w:rsid w:val="003A691D"/>
    <w:rsid w:val="003A6A10"/>
    <w:rsid w:val="003A7D36"/>
    <w:rsid w:val="003B02E9"/>
    <w:rsid w:val="003B0BFC"/>
    <w:rsid w:val="003B0DB2"/>
    <w:rsid w:val="003B1FC5"/>
    <w:rsid w:val="003B5029"/>
    <w:rsid w:val="003B585C"/>
    <w:rsid w:val="003B6F44"/>
    <w:rsid w:val="003B7022"/>
    <w:rsid w:val="003B72AA"/>
    <w:rsid w:val="003C0693"/>
    <w:rsid w:val="003C16AC"/>
    <w:rsid w:val="003C20B3"/>
    <w:rsid w:val="003C3563"/>
    <w:rsid w:val="003C438F"/>
    <w:rsid w:val="003C549B"/>
    <w:rsid w:val="003C6CA6"/>
    <w:rsid w:val="003D2BA8"/>
    <w:rsid w:val="003D46BC"/>
    <w:rsid w:val="003D4B7B"/>
    <w:rsid w:val="003D60F0"/>
    <w:rsid w:val="003D6D99"/>
    <w:rsid w:val="003D7DC2"/>
    <w:rsid w:val="003E08B0"/>
    <w:rsid w:val="003E101B"/>
    <w:rsid w:val="003E2A70"/>
    <w:rsid w:val="003E3B15"/>
    <w:rsid w:val="003E4F6F"/>
    <w:rsid w:val="003E69D7"/>
    <w:rsid w:val="003E6E8D"/>
    <w:rsid w:val="003E7769"/>
    <w:rsid w:val="003F0596"/>
    <w:rsid w:val="003F08DC"/>
    <w:rsid w:val="003F4108"/>
    <w:rsid w:val="003F54E8"/>
    <w:rsid w:val="003F557F"/>
    <w:rsid w:val="003F56FA"/>
    <w:rsid w:val="003F5D18"/>
    <w:rsid w:val="004012C5"/>
    <w:rsid w:val="00401EE2"/>
    <w:rsid w:val="00403B22"/>
    <w:rsid w:val="0040534B"/>
    <w:rsid w:val="004054EF"/>
    <w:rsid w:val="00406929"/>
    <w:rsid w:val="00407183"/>
    <w:rsid w:val="004076F9"/>
    <w:rsid w:val="004105AC"/>
    <w:rsid w:val="00410BE4"/>
    <w:rsid w:val="004114BA"/>
    <w:rsid w:val="004118BB"/>
    <w:rsid w:val="004131B9"/>
    <w:rsid w:val="004147A1"/>
    <w:rsid w:val="0041746C"/>
    <w:rsid w:val="004177B6"/>
    <w:rsid w:val="00421540"/>
    <w:rsid w:val="00421B7E"/>
    <w:rsid w:val="00423B70"/>
    <w:rsid w:val="00424086"/>
    <w:rsid w:val="00430513"/>
    <w:rsid w:val="00430B17"/>
    <w:rsid w:val="004317A1"/>
    <w:rsid w:val="0043181C"/>
    <w:rsid w:val="004318B9"/>
    <w:rsid w:val="00432E2A"/>
    <w:rsid w:val="00433BC8"/>
    <w:rsid w:val="00434707"/>
    <w:rsid w:val="00435703"/>
    <w:rsid w:val="004372A4"/>
    <w:rsid w:val="00437E21"/>
    <w:rsid w:val="00437F43"/>
    <w:rsid w:val="00443F5D"/>
    <w:rsid w:val="0044418E"/>
    <w:rsid w:val="0044665A"/>
    <w:rsid w:val="0044743E"/>
    <w:rsid w:val="004508F3"/>
    <w:rsid w:val="00451D24"/>
    <w:rsid w:val="00455797"/>
    <w:rsid w:val="00455EB3"/>
    <w:rsid w:val="00456B0E"/>
    <w:rsid w:val="00456D85"/>
    <w:rsid w:val="00460AAF"/>
    <w:rsid w:val="00460E88"/>
    <w:rsid w:val="0046116A"/>
    <w:rsid w:val="00461BE3"/>
    <w:rsid w:val="00461F2E"/>
    <w:rsid w:val="0046223D"/>
    <w:rsid w:val="0046249C"/>
    <w:rsid w:val="00462CA1"/>
    <w:rsid w:val="004659AA"/>
    <w:rsid w:val="004660A9"/>
    <w:rsid w:val="00466B9F"/>
    <w:rsid w:val="00466DE8"/>
    <w:rsid w:val="0047067F"/>
    <w:rsid w:val="00472870"/>
    <w:rsid w:val="00473588"/>
    <w:rsid w:val="004765C5"/>
    <w:rsid w:val="00480133"/>
    <w:rsid w:val="00480CBC"/>
    <w:rsid w:val="00480EB9"/>
    <w:rsid w:val="0048210D"/>
    <w:rsid w:val="00482B8C"/>
    <w:rsid w:val="0048334F"/>
    <w:rsid w:val="004833D9"/>
    <w:rsid w:val="00483E7D"/>
    <w:rsid w:val="00484C77"/>
    <w:rsid w:val="00485920"/>
    <w:rsid w:val="00486DF7"/>
    <w:rsid w:val="0049329D"/>
    <w:rsid w:val="00493664"/>
    <w:rsid w:val="004945C5"/>
    <w:rsid w:val="004953FC"/>
    <w:rsid w:val="004963FC"/>
    <w:rsid w:val="00496B45"/>
    <w:rsid w:val="004975C0"/>
    <w:rsid w:val="00497648"/>
    <w:rsid w:val="004A0F67"/>
    <w:rsid w:val="004A1E7B"/>
    <w:rsid w:val="004A2761"/>
    <w:rsid w:val="004A31E2"/>
    <w:rsid w:val="004A4246"/>
    <w:rsid w:val="004A5062"/>
    <w:rsid w:val="004A5589"/>
    <w:rsid w:val="004A5E7B"/>
    <w:rsid w:val="004B0ACC"/>
    <w:rsid w:val="004B2048"/>
    <w:rsid w:val="004B3E5E"/>
    <w:rsid w:val="004B474D"/>
    <w:rsid w:val="004B4BCE"/>
    <w:rsid w:val="004B4C52"/>
    <w:rsid w:val="004B5C4B"/>
    <w:rsid w:val="004B63ED"/>
    <w:rsid w:val="004C2EBB"/>
    <w:rsid w:val="004C4605"/>
    <w:rsid w:val="004C51FD"/>
    <w:rsid w:val="004C6949"/>
    <w:rsid w:val="004C7E98"/>
    <w:rsid w:val="004D09DC"/>
    <w:rsid w:val="004D1912"/>
    <w:rsid w:val="004D1CFE"/>
    <w:rsid w:val="004D27E7"/>
    <w:rsid w:val="004D2864"/>
    <w:rsid w:val="004D4208"/>
    <w:rsid w:val="004D4823"/>
    <w:rsid w:val="004D4EB9"/>
    <w:rsid w:val="004D62E8"/>
    <w:rsid w:val="004E192E"/>
    <w:rsid w:val="004E24F8"/>
    <w:rsid w:val="004E4A96"/>
    <w:rsid w:val="004E4CD3"/>
    <w:rsid w:val="004E5755"/>
    <w:rsid w:val="004E7656"/>
    <w:rsid w:val="004F016A"/>
    <w:rsid w:val="004F2202"/>
    <w:rsid w:val="004F3C8B"/>
    <w:rsid w:val="004F53DD"/>
    <w:rsid w:val="004F66C3"/>
    <w:rsid w:val="00500B83"/>
    <w:rsid w:val="00502001"/>
    <w:rsid w:val="005020B2"/>
    <w:rsid w:val="00502915"/>
    <w:rsid w:val="00503C87"/>
    <w:rsid w:val="005055DB"/>
    <w:rsid w:val="00505712"/>
    <w:rsid w:val="00505784"/>
    <w:rsid w:val="0051006A"/>
    <w:rsid w:val="00511E93"/>
    <w:rsid w:val="005124C0"/>
    <w:rsid w:val="0051392E"/>
    <w:rsid w:val="00514457"/>
    <w:rsid w:val="0051475A"/>
    <w:rsid w:val="0051692D"/>
    <w:rsid w:val="00516AF5"/>
    <w:rsid w:val="005172A9"/>
    <w:rsid w:val="00520FF8"/>
    <w:rsid w:val="005211EE"/>
    <w:rsid w:val="00521628"/>
    <w:rsid w:val="00521BA5"/>
    <w:rsid w:val="00522EDA"/>
    <w:rsid w:val="005237E2"/>
    <w:rsid w:val="00523873"/>
    <w:rsid w:val="0052698E"/>
    <w:rsid w:val="00526B02"/>
    <w:rsid w:val="00527FA4"/>
    <w:rsid w:val="00531438"/>
    <w:rsid w:val="005318F6"/>
    <w:rsid w:val="00531E64"/>
    <w:rsid w:val="00532149"/>
    <w:rsid w:val="00532457"/>
    <w:rsid w:val="00532E09"/>
    <w:rsid w:val="00533600"/>
    <w:rsid w:val="00535251"/>
    <w:rsid w:val="00537B35"/>
    <w:rsid w:val="00537EBF"/>
    <w:rsid w:val="005402F7"/>
    <w:rsid w:val="00543060"/>
    <w:rsid w:val="0054481C"/>
    <w:rsid w:val="0054482D"/>
    <w:rsid w:val="00544C1D"/>
    <w:rsid w:val="00545967"/>
    <w:rsid w:val="005467D2"/>
    <w:rsid w:val="00546CFD"/>
    <w:rsid w:val="00550855"/>
    <w:rsid w:val="00550CA8"/>
    <w:rsid w:val="005521CD"/>
    <w:rsid w:val="00552FB0"/>
    <w:rsid w:val="0055471B"/>
    <w:rsid w:val="0055474C"/>
    <w:rsid w:val="00554A5E"/>
    <w:rsid w:val="00555154"/>
    <w:rsid w:val="005571BB"/>
    <w:rsid w:val="005575DC"/>
    <w:rsid w:val="00557A9F"/>
    <w:rsid w:val="0056135F"/>
    <w:rsid w:val="00562181"/>
    <w:rsid w:val="00562C1F"/>
    <w:rsid w:val="0056347F"/>
    <w:rsid w:val="00564BB0"/>
    <w:rsid w:val="005654E5"/>
    <w:rsid w:val="00565757"/>
    <w:rsid w:val="00566BAF"/>
    <w:rsid w:val="00567598"/>
    <w:rsid w:val="0056786D"/>
    <w:rsid w:val="00571430"/>
    <w:rsid w:val="00572C71"/>
    <w:rsid w:val="00573A45"/>
    <w:rsid w:val="00574641"/>
    <w:rsid w:val="00574D42"/>
    <w:rsid w:val="005756BB"/>
    <w:rsid w:val="00575857"/>
    <w:rsid w:val="005763F5"/>
    <w:rsid w:val="005764F8"/>
    <w:rsid w:val="005765EC"/>
    <w:rsid w:val="005769FC"/>
    <w:rsid w:val="005772DF"/>
    <w:rsid w:val="00577CE5"/>
    <w:rsid w:val="00577D05"/>
    <w:rsid w:val="00580CBB"/>
    <w:rsid w:val="00581325"/>
    <w:rsid w:val="005830EE"/>
    <w:rsid w:val="005840A2"/>
    <w:rsid w:val="00584145"/>
    <w:rsid w:val="00587874"/>
    <w:rsid w:val="00590C32"/>
    <w:rsid w:val="00590DD3"/>
    <w:rsid w:val="00592DDA"/>
    <w:rsid w:val="00593D58"/>
    <w:rsid w:val="00594696"/>
    <w:rsid w:val="00594737"/>
    <w:rsid w:val="0059570C"/>
    <w:rsid w:val="00595AE9"/>
    <w:rsid w:val="005967CA"/>
    <w:rsid w:val="00596B78"/>
    <w:rsid w:val="00596D7E"/>
    <w:rsid w:val="00597A70"/>
    <w:rsid w:val="00597D2C"/>
    <w:rsid w:val="005A045A"/>
    <w:rsid w:val="005A263F"/>
    <w:rsid w:val="005A3442"/>
    <w:rsid w:val="005A5E21"/>
    <w:rsid w:val="005A6E85"/>
    <w:rsid w:val="005A70C0"/>
    <w:rsid w:val="005B022E"/>
    <w:rsid w:val="005B0F9F"/>
    <w:rsid w:val="005B0FB4"/>
    <w:rsid w:val="005B3515"/>
    <w:rsid w:val="005B5224"/>
    <w:rsid w:val="005B59E1"/>
    <w:rsid w:val="005B5FE7"/>
    <w:rsid w:val="005C1542"/>
    <w:rsid w:val="005C22DA"/>
    <w:rsid w:val="005C24EA"/>
    <w:rsid w:val="005C28EB"/>
    <w:rsid w:val="005C2E59"/>
    <w:rsid w:val="005C46AF"/>
    <w:rsid w:val="005C4760"/>
    <w:rsid w:val="005C5195"/>
    <w:rsid w:val="005C74BA"/>
    <w:rsid w:val="005C75E4"/>
    <w:rsid w:val="005C7BBF"/>
    <w:rsid w:val="005D0456"/>
    <w:rsid w:val="005D0FAF"/>
    <w:rsid w:val="005D1105"/>
    <w:rsid w:val="005D14D7"/>
    <w:rsid w:val="005D1EE1"/>
    <w:rsid w:val="005D23E9"/>
    <w:rsid w:val="005D3167"/>
    <w:rsid w:val="005D34F2"/>
    <w:rsid w:val="005D3A61"/>
    <w:rsid w:val="005D4CFC"/>
    <w:rsid w:val="005D7AD1"/>
    <w:rsid w:val="005E0129"/>
    <w:rsid w:val="005E0196"/>
    <w:rsid w:val="005E01AE"/>
    <w:rsid w:val="005E10D8"/>
    <w:rsid w:val="005E319A"/>
    <w:rsid w:val="005E3A2F"/>
    <w:rsid w:val="005E5F5F"/>
    <w:rsid w:val="005E6822"/>
    <w:rsid w:val="005E7FDF"/>
    <w:rsid w:val="005F07D3"/>
    <w:rsid w:val="005F16B4"/>
    <w:rsid w:val="005F1EA1"/>
    <w:rsid w:val="005F2F4F"/>
    <w:rsid w:val="005F548F"/>
    <w:rsid w:val="005F6031"/>
    <w:rsid w:val="005F7E9C"/>
    <w:rsid w:val="00600893"/>
    <w:rsid w:val="00600E2A"/>
    <w:rsid w:val="00601F9D"/>
    <w:rsid w:val="006029E4"/>
    <w:rsid w:val="0060786A"/>
    <w:rsid w:val="0061007F"/>
    <w:rsid w:val="00610D51"/>
    <w:rsid w:val="00610ED3"/>
    <w:rsid w:val="00610FC6"/>
    <w:rsid w:val="006119D2"/>
    <w:rsid w:val="00611B0F"/>
    <w:rsid w:val="006128CB"/>
    <w:rsid w:val="00613F0C"/>
    <w:rsid w:val="006154C1"/>
    <w:rsid w:val="006165FB"/>
    <w:rsid w:val="00616667"/>
    <w:rsid w:val="006172F3"/>
    <w:rsid w:val="0061739B"/>
    <w:rsid w:val="0062040F"/>
    <w:rsid w:val="00620DF4"/>
    <w:rsid w:val="00622CD8"/>
    <w:rsid w:val="00622F29"/>
    <w:rsid w:val="0062417E"/>
    <w:rsid w:val="006241C0"/>
    <w:rsid w:val="00624556"/>
    <w:rsid w:val="00624D63"/>
    <w:rsid w:val="006274F6"/>
    <w:rsid w:val="00627BAE"/>
    <w:rsid w:val="006305AF"/>
    <w:rsid w:val="0063066D"/>
    <w:rsid w:val="006316D8"/>
    <w:rsid w:val="006317A3"/>
    <w:rsid w:val="00631A4B"/>
    <w:rsid w:val="006321E3"/>
    <w:rsid w:val="006328CA"/>
    <w:rsid w:val="006331BE"/>
    <w:rsid w:val="00633681"/>
    <w:rsid w:val="00633883"/>
    <w:rsid w:val="006338A2"/>
    <w:rsid w:val="00636C64"/>
    <w:rsid w:val="00640FC0"/>
    <w:rsid w:val="00641DB2"/>
    <w:rsid w:val="00643BCE"/>
    <w:rsid w:val="006444A8"/>
    <w:rsid w:val="0064578B"/>
    <w:rsid w:val="00646607"/>
    <w:rsid w:val="00646726"/>
    <w:rsid w:val="0064678B"/>
    <w:rsid w:val="00646860"/>
    <w:rsid w:val="00646DF3"/>
    <w:rsid w:val="00647875"/>
    <w:rsid w:val="00650305"/>
    <w:rsid w:val="00650C0D"/>
    <w:rsid w:val="00652B84"/>
    <w:rsid w:val="00654391"/>
    <w:rsid w:val="0065687E"/>
    <w:rsid w:val="00656CCA"/>
    <w:rsid w:val="00660C6D"/>
    <w:rsid w:val="00660D0B"/>
    <w:rsid w:val="00661531"/>
    <w:rsid w:val="00664683"/>
    <w:rsid w:val="0066557C"/>
    <w:rsid w:val="006661A5"/>
    <w:rsid w:val="00666481"/>
    <w:rsid w:val="00666F9A"/>
    <w:rsid w:val="006713A0"/>
    <w:rsid w:val="00672A81"/>
    <w:rsid w:val="00673998"/>
    <w:rsid w:val="0067412A"/>
    <w:rsid w:val="00674B03"/>
    <w:rsid w:val="00674EFA"/>
    <w:rsid w:val="00675D53"/>
    <w:rsid w:val="006760AC"/>
    <w:rsid w:val="00676B8F"/>
    <w:rsid w:val="00677B7B"/>
    <w:rsid w:val="00680838"/>
    <w:rsid w:val="00681998"/>
    <w:rsid w:val="006825C3"/>
    <w:rsid w:val="00682E65"/>
    <w:rsid w:val="006857F7"/>
    <w:rsid w:val="00685AEC"/>
    <w:rsid w:val="0068655B"/>
    <w:rsid w:val="00691F62"/>
    <w:rsid w:val="00692318"/>
    <w:rsid w:val="00693DA6"/>
    <w:rsid w:val="00695461"/>
    <w:rsid w:val="00696D57"/>
    <w:rsid w:val="00697A58"/>
    <w:rsid w:val="00697E74"/>
    <w:rsid w:val="006A18DB"/>
    <w:rsid w:val="006A6572"/>
    <w:rsid w:val="006A7758"/>
    <w:rsid w:val="006A7B1E"/>
    <w:rsid w:val="006B0CB5"/>
    <w:rsid w:val="006B2661"/>
    <w:rsid w:val="006B3006"/>
    <w:rsid w:val="006B4692"/>
    <w:rsid w:val="006B4F16"/>
    <w:rsid w:val="006B5467"/>
    <w:rsid w:val="006B6994"/>
    <w:rsid w:val="006B7564"/>
    <w:rsid w:val="006B792F"/>
    <w:rsid w:val="006B7D3B"/>
    <w:rsid w:val="006C03BB"/>
    <w:rsid w:val="006C12E2"/>
    <w:rsid w:val="006C17C1"/>
    <w:rsid w:val="006C1844"/>
    <w:rsid w:val="006C2D2C"/>
    <w:rsid w:val="006C3D40"/>
    <w:rsid w:val="006C5546"/>
    <w:rsid w:val="006C68B3"/>
    <w:rsid w:val="006C6C99"/>
    <w:rsid w:val="006C7931"/>
    <w:rsid w:val="006D0989"/>
    <w:rsid w:val="006D26FE"/>
    <w:rsid w:val="006D3530"/>
    <w:rsid w:val="006D6370"/>
    <w:rsid w:val="006D770F"/>
    <w:rsid w:val="006D7BE8"/>
    <w:rsid w:val="006E05BA"/>
    <w:rsid w:val="006E51F4"/>
    <w:rsid w:val="006E6B6A"/>
    <w:rsid w:val="006E6B87"/>
    <w:rsid w:val="006F168A"/>
    <w:rsid w:val="006F3D83"/>
    <w:rsid w:val="006F5456"/>
    <w:rsid w:val="006F58B5"/>
    <w:rsid w:val="006F592B"/>
    <w:rsid w:val="006F7036"/>
    <w:rsid w:val="00700CD6"/>
    <w:rsid w:val="00703FE5"/>
    <w:rsid w:val="00704735"/>
    <w:rsid w:val="007058A7"/>
    <w:rsid w:val="007061C1"/>
    <w:rsid w:val="00706405"/>
    <w:rsid w:val="0070657E"/>
    <w:rsid w:val="00707147"/>
    <w:rsid w:val="00707D62"/>
    <w:rsid w:val="007102BF"/>
    <w:rsid w:val="00710C92"/>
    <w:rsid w:val="00712537"/>
    <w:rsid w:val="00712E9D"/>
    <w:rsid w:val="00713550"/>
    <w:rsid w:val="00716A7F"/>
    <w:rsid w:val="00720137"/>
    <w:rsid w:val="0072224B"/>
    <w:rsid w:val="00722DA4"/>
    <w:rsid w:val="00724BA5"/>
    <w:rsid w:val="00725811"/>
    <w:rsid w:val="00726609"/>
    <w:rsid w:val="0072665E"/>
    <w:rsid w:val="0072702D"/>
    <w:rsid w:val="00727A06"/>
    <w:rsid w:val="00730596"/>
    <w:rsid w:val="00730D90"/>
    <w:rsid w:val="00733A44"/>
    <w:rsid w:val="0073594F"/>
    <w:rsid w:val="00736C40"/>
    <w:rsid w:val="00736FF0"/>
    <w:rsid w:val="00737364"/>
    <w:rsid w:val="0074100A"/>
    <w:rsid w:val="00743836"/>
    <w:rsid w:val="00744F6C"/>
    <w:rsid w:val="00745CF8"/>
    <w:rsid w:val="00747795"/>
    <w:rsid w:val="007509BA"/>
    <w:rsid w:val="007509D0"/>
    <w:rsid w:val="00750E3E"/>
    <w:rsid w:val="007526BF"/>
    <w:rsid w:val="00752A6F"/>
    <w:rsid w:val="00752BB8"/>
    <w:rsid w:val="00752D6E"/>
    <w:rsid w:val="007531CA"/>
    <w:rsid w:val="00753EE0"/>
    <w:rsid w:val="0075449E"/>
    <w:rsid w:val="0075458B"/>
    <w:rsid w:val="00754744"/>
    <w:rsid w:val="007552C0"/>
    <w:rsid w:val="00757D81"/>
    <w:rsid w:val="00760166"/>
    <w:rsid w:val="0076075B"/>
    <w:rsid w:val="0076082C"/>
    <w:rsid w:val="00761DA9"/>
    <w:rsid w:val="00761E9B"/>
    <w:rsid w:val="00762465"/>
    <w:rsid w:val="00762645"/>
    <w:rsid w:val="00762F5F"/>
    <w:rsid w:val="00763BCF"/>
    <w:rsid w:val="0076403A"/>
    <w:rsid w:val="00766E8D"/>
    <w:rsid w:val="0076788C"/>
    <w:rsid w:val="0076799B"/>
    <w:rsid w:val="00771D75"/>
    <w:rsid w:val="00772CF1"/>
    <w:rsid w:val="007734C8"/>
    <w:rsid w:val="00773503"/>
    <w:rsid w:val="00773717"/>
    <w:rsid w:val="00773A78"/>
    <w:rsid w:val="00773E3A"/>
    <w:rsid w:val="00776E02"/>
    <w:rsid w:val="00780519"/>
    <w:rsid w:val="007810BC"/>
    <w:rsid w:val="007822AE"/>
    <w:rsid w:val="00785161"/>
    <w:rsid w:val="00785E33"/>
    <w:rsid w:val="00786A1D"/>
    <w:rsid w:val="00786DE7"/>
    <w:rsid w:val="007879FF"/>
    <w:rsid w:val="00787DAF"/>
    <w:rsid w:val="00787F10"/>
    <w:rsid w:val="00790555"/>
    <w:rsid w:val="00791BE0"/>
    <w:rsid w:val="00793615"/>
    <w:rsid w:val="00795CE2"/>
    <w:rsid w:val="007972EB"/>
    <w:rsid w:val="00797363"/>
    <w:rsid w:val="007A0FC9"/>
    <w:rsid w:val="007A2121"/>
    <w:rsid w:val="007A22E1"/>
    <w:rsid w:val="007A2B29"/>
    <w:rsid w:val="007A2F63"/>
    <w:rsid w:val="007A3444"/>
    <w:rsid w:val="007A4C42"/>
    <w:rsid w:val="007A51FD"/>
    <w:rsid w:val="007A6383"/>
    <w:rsid w:val="007A6407"/>
    <w:rsid w:val="007A7DF1"/>
    <w:rsid w:val="007B3200"/>
    <w:rsid w:val="007B5D47"/>
    <w:rsid w:val="007B6777"/>
    <w:rsid w:val="007C0CB6"/>
    <w:rsid w:val="007C1190"/>
    <w:rsid w:val="007C12A5"/>
    <w:rsid w:val="007C1DF4"/>
    <w:rsid w:val="007C3308"/>
    <w:rsid w:val="007C34AF"/>
    <w:rsid w:val="007C7E5B"/>
    <w:rsid w:val="007D09A0"/>
    <w:rsid w:val="007D0DFB"/>
    <w:rsid w:val="007D11C1"/>
    <w:rsid w:val="007D4598"/>
    <w:rsid w:val="007D4799"/>
    <w:rsid w:val="007D6769"/>
    <w:rsid w:val="007D6788"/>
    <w:rsid w:val="007D7B1A"/>
    <w:rsid w:val="007E0612"/>
    <w:rsid w:val="007E1115"/>
    <w:rsid w:val="007E21B5"/>
    <w:rsid w:val="007E2768"/>
    <w:rsid w:val="007E48A6"/>
    <w:rsid w:val="007E4AB5"/>
    <w:rsid w:val="007E4DA4"/>
    <w:rsid w:val="007E5EE5"/>
    <w:rsid w:val="007E5FBE"/>
    <w:rsid w:val="007E7223"/>
    <w:rsid w:val="007F02D9"/>
    <w:rsid w:val="007F04BF"/>
    <w:rsid w:val="007F0769"/>
    <w:rsid w:val="007F2958"/>
    <w:rsid w:val="007F323C"/>
    <w:rsid w:val="007F438E"/>
    <w:rsid w:val="007F664C"/>
    <w:rsid w:val="007F6FFA"/>
    <w:rsid w:val="008003A4"/>
    <w:rsid w:val="00801949"/>
    <w:rsid w:val="00802702"/>
    <w:rsid w:val="00803387"/>
    <w:rsid w:val="0080515C"/>
    <w:rsid w:val="008058E0"/>
    <w:rsid w:val="008058F0"/>
    <w:rsid w:val="00805FB6"/>
    <w:rsid w:val="00806328"/>
    <w:rsid w:val="00807098"/>
    <w:rsid w:val="00807502"/>
    <w:rsid w:val="008103AC"/>
    <w:rsid w:val="00810D6A"/>
    <w:rsid w:val="00811AF9"/>
    <w:rsid w:val="00811BE8"/>
    <w:rsid w:val="00811E1E"/>
    <w:rsid w:val="0081201D"/>
    <w:rsid w:val="008138C5"/>
    <w:rsid w:val="00814C84"/>
    <w:rsid w:val="00816063"/>
    <w:rsid w:val="00816363"/>
    <w:rsid w:val="00816D52"/>
    <w:rsid w:val="0081723F"/>
    <w:rsid w:val="00817468"/>
    <w:rsid w:val="008202B9"/>
    <w:rsid w:val="0082072D"/>
    <w:rsid w:val="00821797"/>
    <w:rsid w:val="00821D31"/>
    <w:rsid w:val="00823B0C"/>
    <w:rsid w:val="008249C8"/>
    <w:rsid w:val="00830B11"/>
    <w:rsid w:val="00832102"/>
    <w:rsid w:val="00832C2C"/>
    <w:rsid w:val="00834369"/>
    <w:rsid w:val="008379BC"/>
    <w:rsid w:val="00837A9C"/>
    <w:rsid w:val="00837BAF"/>
    <w:rsid w:val="00842D55"/>
    <w:rsid w:val="00843E85"/>
    <w:rsid w:val="0084448E"/>
    <w:rsid w:val="008444B1"/>
    <w:rsid w:val="00844A98"/>
    <w:rsid w:val="0084510D"/>
    <w:rsid w:val="00847C3D"/>
    <w:rsid w:val="0085006C"/>
    <w:rsid w:val="008504A1"/>
    <w:rsid w:val="008505C8"/>
    <w:rsid w:val="008515F0"/>
    <w:rsid w:val="00852A5E"/>
    <w:rsid w:val="00852BBE"/>
    <w:rsid w:val="00853E28"/>
    <w:rsid w:val="008548EB"/>
    <w:rsid w:val="00855B58"/>
    <w:rsid w:val="008568B3"/>
    <w:rsid w:val="00857889"/>
    <w:rsid w:val="00860253"/>
    <w:rsid w:val="008607E7"/>
    <w:rsid w:val="008610A4"/>
    <w:rsid w:val="00862451"/>
    <w:rsid w:val="0086289F"/>
    <w:rsid w:val="00863606"/>
    <w:rsid w:val="0086383A"/>
    <w:rsid w:val="00863A6D"/>
    <w:rsid w:val="00863FD6"/>
    <w:rsid w:val="00864062"/>
    <w:rsid w:val="00864A22"/>
    <w:rsid w:val="00865A59"/>
    <w:rsid w:val="00865FB4"/>
    <w:rsid w:val="008664F4"/>
    <w:rsid w:val="0086676A"/>
    <w:rsid w:val="00866E09"/>
    <w:rsid w:val="008675B2"/>
    <w:rsid w:val="008675BB"/>
    <w:rsid w:val="00867F37"/>
    <w:rsid w:val="00870027"/>
    <w:rsid w:val="0087035B"/>
    <w:rsid w:val="008718F6"/>
    <w:rsid w:val="008733F9"/>
    <w:rsid w:val="008769B1"/>
    <w:rsid w:val="00877FC7"/>
    <w:rsid w:val="0088023A"/>
    <w:rsid w:val="00880673"/>
    <w:rsid w:val="00882452"/>
    <w:rsid w:val="00882F44"/>
    <w:rsid w:val="00883D4E"/>
    <w:rsid w:val="008842C8"/>
    <w:rsid w:val="00884331"/>
    <w:rsid w:val="008847B6"/>
    <w:rsid w:val="00884BBA"/>
    <w:rsid w:val="0088515B"/>
    <w:rsid w:val="00885A28"/>
    <w:rsid w:val="00886DA4"/>
    <w:rsid w:val="0088775D"/>
    <w:rsid w:val="0089051D"/>
    <w:rsid w:val="00892C8E"/>
    <w:rsid w:val="00895C63"/>
    <w:rsid w:val="00895CBD"/>
    <w:rsid w:val="0089638F"/>
    <w:rsid w:val="008A099D"/>
    <w:rsid w:val="008A1BC9"/>
    <w:rsid w:val="008A21AC"/>
    <w:rsid w:val="008A2DF8"/>
    <w:rsid w:val="008A2FFE"/>
    <w:rsid w:val="008A3CA9"/>
    <w:rsid w:val="008A4D1C"/>
    <w:rsid w:val="008A5613"/>
    <w:rsid w:val="008A594E"/>
    <w:rsid w:val="008A5FBA"/>
    <w:rsid w:val="008A7813"/>
    <w:rsid w:val="008A7E89"/>
    <w:rsid w:val="008B0454"/>
    <w:rsid w:val="008B1330"/>
    <w:rsid w:val="008B258F"/>
    <w:rsid w:val="008B2874"/>
    <w:rsid w:val="008B2AE0"/>
    <w:rsid w:val="008B2E92"/>
    <w:rsid w:val="008B3A83"/>
    <w:rsid w:val="008B415E"/>
    <w:rsid w:val="008B5B67"/>
    <w:rsid w:val="008B6242"/>
    <w:rsid w:val="008B674E"/>
    <w:rsid w:val="008B7EDD"/>
    <w:rsid w:val="008C0410"/>
    <w:rsid w:val="008C1BAF"/>
    <w:rsid w:val="008C1DFB"/>
    <w:rsid w:val="008C1EC1"/>
    <w:rsid w:val="008C21C4"/>
    <w:rsid w:val="008C2362"/>
    <w:rsid w:val="008C32E1"/>
    <w:rsid w:val="008C364F"/>
    <w:rsid w:val="008C48D6"/>
    <w:rsid w:val="008C55CA"/>
    <w:rsid w:val="008C5A89"/>
    <w:rsid w:val="008C5FEA"/>
    <w:rsid w:val="008C6616"/>
    <w:rsid w:val="008C6805"/>
    <w:rsid w:val="008D0A27"/>
    <w:rsid w:val="008D10AA"/>
    <w:rsid w:val="008D227B"/>
    <w:rsid w:val="008D2CA0"/>
    <w:rsid w:val="008D3D3C"/>
    <w:rsid w:val="008D3DDD"/>
    <w:rsid w:val="008D3F3D"/>
    <w:rsid w:val="008D4CBB"/>
    <w:rsid w:val="008D4D62"/>
    <w:rsid w:val="008D5448"/>
    <w:rsid w:val="008D54D1"/>
    <w:rsid w:val="008D5818"/>
    <w:rsid w:val="008D66B9"/>
    <w:rsid w:val="008D693F"/>
    <w:rsid w:val="008E1422"/>
    <w:rsid w:val="008E21FA"/>
    <w:rsid w:val="008E652E"/>
    <w:rsid w:val="008E6A05"/>
    <w:rsid w:val="008E7647"/>
    <w:rsid w:val="008F0E94"/>
    <w:rsid w:val="008F13C6"/>
    <w:rsid w:val="008F1615"/>
    <w:rsid w:val="008F3BB0"/>
    <w:rsid w:val="008F3D82"/>
    <w:rsid w:val="008F400C"/>
    <w:rsid w:val="008F43B4"/>
    <w:rsid w:val="008F4724"/>
    <w:rsid w:val="008F644D"/>
    <w:rsid w:val="008F6689"/>
    <w:rsid w:val="008F6BB9"/>
    <w:rsid w:val="008F79AD"/>
    <w:rsid w:val="00901D31"/>
    <w:rsid w:val="00902B12"/>
    <w:rsid w:val="009038C3"/>
    <w:rsid w:val="00903A46"/>
    <w:rsid w:val="00903E4A"/>
    <w:rsid w:val="00904011"/>
    <w:rsid w:val="00906EE2"/>
    <w:rsid w:val="00906FD8"/>
    <w:rsid w:val="00911FF4"/>
    <w:rsid w:val="00912091"/>
    <w:rsid w:val="0091211D"/>
    <w:rsid w:val="00912E99"/>
    <w:rsid w:val="009151C3"/>
    <w:rsid w:val="00916085"/>
    <w:rsid w:val="0091623B"/>
    <w:rsid w:val="009163BC"/>
    <w:rsid w:val="00916D2B"/>
    <w:rsid w:val="00921024"/>
    <w:rsid w:val="0092174F"/>
    <w:rsid w:val="0092324E"/>
    <w:rsid w:val="00923357"/>
    <w:rsid w:val="0092415E"/>
    <w:rsid w:val="00925F6A"/>
    <w:rsid w:val="00926C99"/>
    <w:rsid w:val="00926F56"/>
    <w:rsid w:val="0092708C"/>
    <w:rsid w:val="0092724C"/>
    <w:rsid w:val="009276D0"/>
    <w:rsid w:val="00930551"/>
    <w:rsid w:val="00930F75"/>
    <w:rsid w:val="00930FFC"/>
    <w:rsid w:val="00931DA8"/>
    <w:rsid w:val="009325B9"/>
    <w:rsid w:val="009328EC"/>
    <w:rsid w:val="00932FB4"/>
    <w:rsid w:val="009331C6"/>
    <w:rsid w:val="00934092"/>
    <w:rsid w:val="009341FB"/>
    <w:rsid w:val="009350E2"/>
    <w:rsid w:val="00935C00"/>
    <w:rsid w:val="00937BAD"/>
    <w:rsid w:val="00937E73"/>
    <w:rsid w:val="0094033F"/>
    <w:rsid w:val="00940ADC"/>
    <w:rsid w:val="0094106A"/>
    <w:rsid w:val="00941B77"/>
    <w:rsid w:val="00942943"/>
    <w:rsid w:val="0094358F"/>
    <w:rsid w:val="00943A2E"/>
    <w:rsid w:val="00943F7C"/>
    <w:rsid w:val="00944190"/>
    <w:rsid w:val="00944683"/>
    <w:rsid w:val="00947B63"/>
    <w:rsid w:val="009500CC"/>
    <w:rsid w:val="0095040D"/>
    <w:rsid w:val="009506F1"/>
    <w:rsid w:val="009509FE"/>
    <w:rsid w:val="00952F4C"/>
    <w:rsid w:val="00953394"/>
    <w:rsid w:val="00953B87"/>
    <w:rsid w:val="00954A2A"/>
    <w:rsid w:val="009567F7"/>
    <w:rsid w:val="00956EE7"/>
    <w:rsid w:val="0095759E"/>
    <w:rsid w:val="00957EAC"/>
    <w:rsid w:val="009612C2"/>
    <w:rsid w:val="009617B8"/>
    <w:rsid w:val="00962408"/>
    <w:rsid w:val="00965534"/>
    <w:rsid w:val="009658BF"/>
    <w:rsid w:val="00965946"/>
    <w:rsid w:val="00965EF6"/>
    <w:rsid w:val="00966376"/>
    <w:rsid w:val="009664DB"/>
    <w:rsid w:val="00966CEE"/>
    <w:rsid w:val="0096700D"/>
    <w:rsid w:val="0096705D"/>
    <w:rsid w:val="009677C2"/>
    <w:rsid w:val="00970762"/>
    <w:rsid w:val="009708E8"/>
    <w:rsid w:val="00971264"/>
    <w:rsid w:val="00973AC4"/>
    <w:rsid w:val="0097429D"/>
    <w:rsid w:val="00975A6D"/>
    <w:rsid w:val="00976479"/>
    <w:rsid w:val="009766D3"/>
    <w:rsid w:val="00976D80"/>
    <w:rsid w:val="00977C39"/>
    <w:rsid w:val="00981079"/>
    <w:rsid w:val="0098135B"/>
    <w:rsid w:val="0098193D"/>
    <w:rsid w:val="00981BAF"/>
    <w:rsid w:val="00982696"/>
    <w:rsid w:val="00983638"/>
    <w:rsid w:val="009847F3"/>
    <w:rsid w:val="00984A15"/>
    <w:rsid w:val="00984C6F"/>
    <w:rsid w:val="00985704"/>
    <w:rsid w:val="0098702E"/>
    <w:rsid w:val="00987FDD"/>
    <w:rsid w:val="00990C32"/>
    <w:rsid w:val="0099176D"/>
    <w:rsid w:val="00992A9B"/>
    <w:rsid w:val="009930FF"/>
    <w:rsid w:val="009939EC"/>
    <w:rsid w:val="00993C99"/>
    <w:rsid w:val="00994529"/>
    <w:rsid w:val="0099552B"/>
    <w:rsid w:val="00995575"/>
    <w:rsid w:val="00996139"/>
    <w:rsid w:val="0099634C"/>
    <w:rsid w:val="009A0517"/>
    <w:rsid w:val="009A0716"/>
    <w:rsid w:val="009A0980"/>
    <w:rsid w:val="009A0AC9"/>
    <w:rsid w:val="009A1907"/>
    <w:rsid w:val="009A2855"/>
    <w:rsid w:val="009A309D"/>
    <w:rsid w:val="009A35C7"/>
    <w:rsid w:val="009A3883"/>
    <w:rsid w:val="009A7CAC"/>
    <w:rsid w:val="009B2C12"/>
    <w:rsid w:val="009B55AA"/>
    <w:rsid w:val="009B5E62"/>
    <w:rsid w:val="009B637C"/>
    <w:rsid w:val="009C0580"/>
    <w:rsid w:val="009C2E91"/>
    <w:rsid w:val="009C2F2A"/>
    <w:rsid w:val="009C3512"/>
    <w:rsid w:val="009C3BCC"/>
    <w:rsid w:val="009C3E18"/>
    <w:rsid w:val="009C5534"/>
    <w:rsid w:val="009C6E18"/>
    <w:rsid w:val="009C7AC3"/>
    <w:rsid w:val="009C7B29"/>
    <w:rsid w:val="009D129E"/>
    <w:rsid w:val="009D173B"/>
    <w:rsid w:val="009D1A57"/>
    <w:rsid w:val="009D249E"/>
    <w:rsid w:val="009D34AC"/>
    <w:rsid w:val="009D45A6"/>
    <w:rsid w:val="009D54C2"/>
    <w:rsid w:val="009D73A4"/>
    <w:rsid w:val="009D7605"/>
    <w:rsid w:val="009E1961"/>
    <w:rsid w:val="009E2917"/>
    <w:rsid w:val="009E300E"/>
    <w:rsid w:val="009E3238"/>
    <w:rsid w:val="009E6980"/>
    <w:rsid w:val="009E780C"/>
    <w:rsid w:val="009F018D"/>
    <w:rsid w:val="009F13E4"/>
    <w:rsid w:val="009F14AA"/>
    <w:rsid w:val="009F3911"/>
    <w:rsid w:val="009F39CD"/>
    <w:rsid w:val="009F5A72"/>
    <w:rsid w:val="009F5A80"/>
    <w:rsid w:val="009F7AAF"/>
    <w:rsid w:val="009F7DFD"/>
    <w:rsid w:val="00A00140"/>
    <w:rsid w:val="00A0080D"/>
    <w:rsid w:val="00A0136D"/>
    <w:rsid w:val="00A01ADE"/>
    <w:rsid w:val="00A01C06"/>
    <w:rsid w:val="00A05592"/>
    <w:rsid w:val="00A07120"/>
    <w:rsid w:val="00A0776B"/>
    <w:rsid w:val="00A077D1"/>
    <w:rsid w:val="00A100B3"/>
    <w:rsid w:val="00A1040A"/>
    <w:rsid w:val="00A10543"/>
    <w:rsid w:val="00A116A2"/>
    <w:rsid w:val="00A11828"/>
    <w:rsid w:val="00A129E0"/>
    <w:rsid w:val="00A12E7B"/>
    <w:rsid w:val="00A13014"/>
    <w:rsid w:val="00A134A9"/>
    <w:rsid w:val="00A13BB9"/>
    <w:rsid w:val="00A142F0"/>
    <w:rsid w:val="00A14B05"/>
    <w:rsid w:val="00A14BF2"/>
    <w:rsid w:val="00A1656D"/>
    <w:rsid w:val="00A17866"/>
    <w:rsid w:val="00A17B67"/>
    <w:rsid w:val="00A20ED7"/>
    <w:rsid w:val="00A226DF"/>
    <w:rsid w:val="00A22C9B"/>
    <w:rsid w:val="00A23DB9"/>
    <w:rsid w:val="00A248DA"/>
    <w:rsid w:val="00A313AB"/>
    <w:rsid w:val="00A318C4"/>
    <w:rsid w:val="00A31E56"/>
    <w:rsid w:val="00A32539"/>
    <w:rsid w:val="00A34092"/>
    <w:rsid w:val="00A351F2"/>
    <w:rsid w:val="00A3635E"/>
    <w:rsid w:val="00A40A0A"/>
    <w:rsid w:val="00A421BF"/>
    <w:rsid w:val="00A422A1"/>
    <w:rsid w:val="00A43B3D"/>
    <w:rsid w:val="00A44612"/>
    <w:rsid w:val="00A4703D"/>
    <w:rsid w:val="00A475A5"/>
    <w:rsid w:val="00A5213B"/>
    <w:rsid w:val="00A52848"/>
    <w:rsid w:val="00A52BBB"/>
    <w:rsid w:val="00A53182"/>
    <w:rsid w:val="00A53637"/>
    <w:rsid w:val="00A54A02"/>
    <w:rsid w:val="00A5602E"/>
    <w:rsid w:val="00A5630B"/>
    <w:rsid w:val="00A57B79"/>
    <w:rsid w:val="00A57C94"/>
    <w:rsid w:val="00A6218A"/>
    <w:rsid w:val="00A63454"/>
    <w:rsid w:val="00A640C4"/>
    <w:rsid w:val="00A654DF"/>
    <w:rsid w:val="00A66086"/>
    <w:rsid w:val="00A6643E"/>
    <w:rsid w:val="00A66822"/>
    <w:rsid w:val="00A673C2"/>
    <w:rsid w:val="00A70F04"/>
    <w:rsid w:val="00A7327D"/>
    <w:rsid w:val="00A7383D"/>
    <w:rsid w:val="00A7407B"/>
    <w:rsid w:val="00A743C8"/>
    <w:rsid w:val="00A751E1"/>
    <w:rsid w:val="00A82719"/>
    <w:rsid w:val="00A827DC"/>
    <w:rsid w:val="00A8364D"/>
    <w:rsid w:val="00A83754"/>
    <w:rsid w:val="00A83E81"/>
    <w:rsid w:val="00A84586"/>
    <w:rsid w:val="00A8795C"/>
    <w:rsid w:val="00A902C2"/>
    <w:rsid w:val="00A903B1"/>
    <w:rsid w:val="00A90A7E"/>
    <w:rsid w:val="00A90E05"/>
    <w:rsid w:val="00A92143"/>
    <w:rsid w:val="00A926B1"/>
    <w:rsid w:val="00A94115"/>
    <w:rsid w:val="00A94171"/>
    <w:rsid w:val="00A949DB"/>
    <w:rsid w:val="00A96CC0"/>
    <w:rsid w:val="00A97D1F"/>
    <w:rsid w:val="00AA042A"/>
    <w:rsid w:val="00AA33D0"/>
    <w:rsid w:val="00AA5016"/>
    <w:rsid w:val="00AA55A5"/>
    <w:rsid w:val="00AA69C3"/>
    <w:rsid w:val="00AA727E"/>
    <w:rsid w:val="00AB0FFB"/>
    <w:rsid w:val="00AB189A"/>
    <w:rsid w:val="00AB4F12"/>
    <w:rsid w:val="00AB6608"/>
    <w:rsid w:val="00AB7A88"/>
    <w:rsid w:val="00AC0619"/>
    <w:rsid w:val="00AC0A2E"/>
    <w:rsid w:val="00AC22C6"/>
    <w:rsid w:val="00AC26CC"/>
    <w:rsid w:val="00AC285C"/>
    <w:rsid w:val="00AC2C50"/>
    <w:rsid w:val="00AC3367"/>
    <w:rsid w:val="00AC3BAB"/>
    <w:rsid w:val="00AC40E0"/>
    <w:rsid w:val="00AC575C"/>
    <w:rsid w:val="00AC728B"/>
    <w:rsid w:val="00AC7339"/>
    <w:rsid w:val="00AC7DD2"/>
    <w:rsid w:val="00AD1181"/>
    <w:rsid w:val="00AD5CF9"/>
    <w:rsid w:val="00AD641C"/>
    <w:rsid w:val="00AD771B"/>
    <w:rsid w:val="00AE068B"/>
    <w:rsid w:val="00AE2C67"/>
    <w:rsid w:val="00AE419E"/>
    <w:rsid w:val="00AE4C94"/>
    <w:rsid w:val="00AE4E8F"/>
    <w:rsid w:val="00AE576D"/>
    <w:rsid w:val="00AE5919"/>
    <w:rsid w:val="00AF107B"/>
    <w:rsid w:val="00AF2F57"/>
    <w:rsid w:val="00AF66DB"/>
    <w:rsid w:val="00B00FFC"/>
    <w:rsid w:val="00B035EC"/>
    <w:rsid w:val="00B03713"/>
    <w:rsid w:val="00B03C01"/>
    <w:rsid w:val="00B03C8C"/>
    <w:rsid w:val="00B0536C"/>
    <w:rsid w:val="00B0564D"/>
    <w:rsid w:val="00B06893"/>
    <w:rsid w:val="00B07162"/>
    <w:rsid w:val="00B07508"/>
    <w:rsid w:val="00B07D88"/>
    <w:rsid w:val="00B10493"/>
    <w:rsid w:val="00B10568"/>
    <w:rsid w:val="00B10592"/>
    <w:rsid w:val="00B12B16"/>
    <w:rsid w:val="00B1327B"/>
    <w:rsid w:val="00B13AB5"/>
    <w:rsid w:val="00B14461"/>
    <w:rsid w:val="00B148F5"/>
    <w:rsid w:val="00B15B6F"/>
    <w:rsid w:val="00B16AC3"/>
    <w:rsid w:val="00B172A7"/>
    <w:rsid w:val="00B17859"/>
    <w:rsid w:val="00B20C9E"/>
    <w:rsid w:val="00B218D4"/>
    <w:rsid w:val="00B22F9F"/>
    <w:rsid w:val="00B23337"/>
    <w:rsid w:val="00B242B4"/>
    <w:rsid w:val="00B24806"/>
    <w:rsid w:val="00B26598"/>
    <w:rsid w:val="00B26DF6"/>
    <w:rsid w:val="00B27D66"/>
    <w:rsid w:val="00B31C58"/>
    <w:rsid w:val="00B31C90"/>
    <w:rsid w:val="00B3284A"/>
    <w:rsid w:val="00B3345A"/>
    <w:rsid w:val="00B35205"/>
    <w:rsid w:val="00B36C48"/>
    <w:rsid w:val="00B40840"/>
    <w:rsid w:val="00B40C6E"/>
    <w:rsid w:val="00B40D61"/>
    <w:rsid w:val="00B41328"/>
    <w:rsid w:val="00B4356A"/>
    <w:rsid w:val="00B44C51"/>
    <w:rsid w:val="00B513A5"/>
    <w:rsid w:val="00B516E5"/>
    <w:rsid w:val="00B5197B"/>
    <w:rsid w:val="00B51DC5"/>
    <w:rsid w:val="00B52629"/>
    <w:rsid w:val="00B52BF5"/>
    <w:rsid w:val="00B52CE5"/>
    <w:rsid w:val="00B548A1"/>
    <w:rsid w:val="00B54B36"/>
    <w:rsid w:val="00B56B96"/>
    <w:rsid w:val="00B631B6"/>
    <w:rsid w:val="00B64462"/>
    <w:rsid w:val="00B648D3"/>
    <w:rsid w:val="00B66262"/>
    <w:rsid w:val="00B673B0"/>
    <w:rsid w:val="00B70349"/>
    <w:rsid w:val="00B704A2"/>
    <w:rsid w:val="00B7068E"/>
    <w:rsid w:val="00B71825"/>
    <w:rsid w:val="00B71C4B"/>
    <w:rsid w:val="00B71E29"/>
    <w:rsid w:val="00B77F3A"/>
    <w:rsid w:val="00B80C4F"/>
    <w:rsid w:val="00B8123D"/>
    <w:rsid w:val="00B818DA"/>
    <w:rsid w:val="00B83DA6"/>
    <w:rsid w:val="00B85329"/>
    <w:rsid w:val="00B853CC"/>
    <w:rsid w:val="00B85EC3"/>
    <w:rsid w:val="00B86465"/>
    <w:rsid w:val="00B86468"/>
    <w:rsid w:val="00B86817"/>
    <w:rsid w:val="00B87A87"/>
    <w:rsid w:val="00B90B25"/>
    <w:rsid w:val="00B91082"/>
    <w:rsid w:val="00B920C8"/>
    <w:rsid w:val="00B92712"/>
    <w:rsid w:val="00B92B68"/>
    <w:rsid w:val="00B9317C"/>
    <w:rsid w:val="00B946BB"/>
    <w:rsid w:val="00B94DF7"/>
    <w:rsid w:val="00B96AE6"/>
    <w:rsid w:val="00B970E1"/>
    <w:rsid w:val="00B97191"/>
    <w:rsid w:val="00B97740"/>
    <w:rsid w:val="00BA5E6E"/>
    <w:rsid w:val="00BB3031"/>
    <w:rsid w:val="00BB3189"/>
    <w:rsid w:val="00BB4096"/>
    <w:rsid w:val="00BB6124"/>
    <w:rsid w:val="00BB6288"/>
    <w:rsid w:val="00BB65AB"/>
    <w:rsid w:val="00BC005B"/>
    <w:rsid w:val="00BC0741"/>
    <w:rsid w:val="00BC0F57"/>
    <w:rsid w:val="00BC1A6E"/>
    <w:rsid w:val="00BC298D"/>
    <w:rsid w:val="00BC374D"/>
    <w:rsid w:val="00BC4413"/>
    <w:rsid w:val="00BC4991"/>
    <w:rsid w:val="00BC4FB1"/>
    <w:rsid w:val="00BC5D2A"/>
    <w:rsid w:val="00BC70B1"/>
    <w:rsid w:val="00BC7353"/>
    <w:rsid w:val="00BD006D"/>
    <w:rsid w:val="00BD0CE0"/>
    <w:rsid w:val="00BD0DC6"/>
    <w:rsid w:val="00BD0E54"/>
    <w:rsid w:val="00BD16D9"/>
    <w:rsid w:val="00BD18E9"/>
    <w:rsid w:val="00BD4354"/>
    <w:rsid w:val="00BD62D2"/>
    <w:rsid w:val="00BD65B1"/>
    <w:rsid w:val="00BD7C77"/>
    <w:rsid w:val="00BE07DE"/>
    <w:rsid w:val="00BE131F"/>
    <w:rsid w:val="00BE2627"/>
    <w:rsid w:val="00BE2812"/>
    <w:rsid w:val="00BE31CE"/>
    <w:rsid w:val="00BE4CA9"/>
    <w:rsid w:val="00BE728C"/>
    <w:rsid w:val="00BE7FB6"/>
    <w:rsid w:val="00BF0276"/>
    <w:rsid w:val="00BF0383"/>
    <w:rsid w:val="00BF066F"/>
    <w:rsid w:val="00BF1A9A"/>
    <w:rsid w:val="00BF258B"/>
    <w:rsid w:val="00BF29FA"/>
    <w:rsid w:val="00C00E79"/>
    <w:rsid w:val="00C0278A"/>
    <w:rsid w:val="00C0371C"/>
    <w:rsid w:val="00C047E2"/>
    <w:rsid w:val="00C051A9"/>
    <w:rsid w:val="00C06A95"/>
    <w:rsid w:val="00C06BE8"/>
    <w:rsid w:val="00C07356"/>
    <w:rsid w:val="00C100A3"/>
    <w:rsid w:val="00C1112B"/>
    <w:rsid w:val="00C11891"/>
    <w:rsid w:val="00C11957"/>
    <w:rsid w:val="00C1412B"/>
    <w:rsid w:val="00C16692"/>
    <w:rsid w:val="00C16856"/>
    <w:rsid w:val="00C20DB3"/>
    <w:rsid w:val="00C220F1"/>
    <w:rsid w:val="00C2261A"/>
    <w:rsid w:val="00C22A32"/>
    <w:rsid w:val="00C23D94"/>
    <w:rsid w:val="00C24DA9"/>
    <w:rsid w:val="00C25004"/>
    <w:rsid w:val="00C25269"/>
    <w:rsid w:val="00C25EB9"/>
    <w:rsid w:val="00C272FB"/>
    <w:rsid w:val="00C32E17"/>
    <w:rsid w:val="00C3427E"/>
    <w:rsid w:val="00C346CB"/>
    <w:rsid w:val="00C34DBA"/>
    <w:rsid w:val="00C3548A"/>
    <w:rsid w:val="00C35821"/>
    <w:rsid w:val="00C35B71"/>
    <w:rsid w:val="00C37B1B"/>
    <w:rsid w:val="00C42CCE"/>
    <w:rsid w:val="00C42FBF"/>
    <w:rsid w:val="00C443F6"/>
    <w:rsid w:val="00C4494A"/>
    <w:rsid w:val="00C44AD0"/>
    <w:rsid w:val="00C44AEA"/>
    <w:rsid w:val="00C44F2B"/>
    <w:rsid w:val="00C451C0"/>
    <w:rsid w:val="00C45413"/>
    <w:rsid w:val="00C46442"/>
    <w:rsid w:val="00C4764A"/>
    <w:rsid w:val="00C50220"/>
    <w:rsid w:val="00C51BE0"/>
    <w:rsid w:val="00C52AD8"/>
    <w:rsid w:val="00C539D8"/>
    <w:rsid w:val="00C53FAD"/>
    <w:rsid w:val="00C54E9E"/>
    <w:rsid w:val="00C56231"/>
    <w:rsid w:val="00C5667A"/>
    <w:rsid w:val="00C5684A"/>
    <w:rsid w:val="00C618CD"/>
    <w:rsid w:val="00C61A59"/>
    <w:rsid w:val="00C630A2"/>
    <w:rsid w:val="00C6339D"/>
    <w:rsid w:val="00C64F6B"/>
    <w:rsid w:val="00C65210"/>
    <w:rsid w:val="00C6559E"/>
    <w:rsid w:val="00C67996"/>
    <w:rsid w:val="00C701AE"/>
    <w:rsid w:val="00C70C9D"/>
    <w:rsid w:val="00C71228"/>
    <w:rsid w:val="00C71381"/>
    <w:rsid w:val="00C72735"/>
    <w:rsid w:val="00C72FD6"/>
    <w:rsid w:val="00C733A0"/>
    <w:rsid w:val="00C75A27"/>
    <w:rsid w:val="00C77480"/>
    <w:rsid w:val="00C80E49"/>
    <w:rsid w:val="00C8168F"/>
    <w:rsid w:val="00C81F55"/>
    <w:rsid w:val="00C826F3"/>
    <w:rsid w:val="00C86978"/>
    <w:rsid w:val="00C87C27"/>
    <w:rsid w:val="00C902D4"/>
    <w:rsid w:val="00C90A31"/>
    <w:rsid w:val="00C90CF1"/>
    <w:rsid w:val="00C92192"/>
    <w:rsid w:val="00C922FA"/>
    <w:rsid w:val="00C93018"/>
    <w:rsid w:val="00C930F3"/>
    <w:rsid w:val="00C93B26"/>
    <w:rsid w:val="00C93D10"/>
    <w:rsid w:val="00C94735"/>
    <w:rsid w:val="00C95938"/>
    <w:rsid w:val="00C96F12"/>
    <w:rsid w:val="00C97075"/>
    <w:rsid w:val="00C97F0F"/>
    <w:rsid w:val="00CA00F6"/>
    <w:rsid w:val="00CA0379"/>
    <w:rsid w:val="00CA0AAD"/>
    <w:rsid w:val="00CA1D2D"/>
    <w:rsid w:val="00CA21F8"/>
    <w:rsid w:val="00CA3332"/>
    <w:rsid w:val="00CA4CDE"/>
    <w:rsid w:val="00CA64FD"/>
    <w:rsid w:val="00CA66DE"/>
    <w:rsid w:val="00CA6865"/>
    <w:rsid w:val="00CA7BB3"/>
    <w:rsid w:val="00CA7FBF"/>
    <w:rsid w:val="00CB0074"/>
    <w:rsid w:val="00CB05B1"/>
    <w:rsid w:val="00CB1356"/>
    <w:rsid w:val="00CB16B9"/>
    <w:rsid w:val="00CB2B24"/>
    <w:rsid w:val="00CB37BE"/>
    <w:rsid w:val="00CB3F7E"/>
    <w:rsid w:val="00CB4BF5"/>
    <w:rsid w:val="00CB4DAA"/>
    <w:rsid w:val="00CB61AD"/>
    <w:rsid w:val="00CC2110"/>
    <w:rsid w:val="00CC3828"/>
    <w:rsid w:val="00CC5B2B"/>
    <w:rsid w:val="00CC5C73"/>
    <w:rsid w:val="00CC69D9"/>
    <w:rsid w:val="00CC6C52"/>
    <w:rsid w:val="00CC7FA3"/>
    <w:rsid w:val="00CD02BA"/>
    <w:rsid w:val="00CD289D"/>
    <w:rsid w:val="00CD3597"/>
    <w:rsid w:val="00CD38E5"/>
    <w:rsid w:val="00CD39C8"/>
    <w:rsid w:val="00CD44BD"/>
    <w:rsid w:val="00CD547F"/>
    <w:rsid w:val="00CD5563"/>
    <w:rsid w:val="00CD620E"/>
    <w:rsid w:val="00CD6239"/>
    <w:rsid w:val="00CD6C63"/>
    <w:rsid w:val="00CD7858"/>
    <w:rsid w:val="00CE0839"/>
    <w:rsid w:val="00CE0D78"/>
    <w:rsid w:val="00CE1951"/>
    <w:rsid w:val="00CE1FF7"/>
    <w:rsid w:val="00CE38E5"/>
    <w:rsid w:val="00CE3B19"/>
    <w:rsid w:val="00CE5219"/>
    <w:rsid w:val="00CE61D9"/>
    <w:rsid w:val="00CE72D0"/>
    <w:rsid w:val="00CE7F61"/>
    <w:rsid w:val="00CF072A"/>
    <w:rsid w:val="00CF28CB"/>
    <w:rsid w:val="00CF2EB7"/>
    <w:rsid w:val="00CF31D4"/>
    <w:rsid w:val="00CF41DD"/>
    <w:rsid w:val="00CF455C"/>
    <w:rsid w:val="00CF4C28"/>
    <w:rsid w:val="00CF5581"/>
    <w:rsid w:val="00CF5F20"/>
    <w:rsid w:val="00CF6FCA"/>
    <w:rsid w:val="00CF70B0"/>
    <w:rsid w:val="00CF7D83"/>
    <w:rsid w:val="00D00C1B"/>
    <w:rsid w:val="00D01348"/>
    <w:rsid w:val="00D01A33"/>
    <w:rsid w:val="00D023C8"/>
    <w:rsid w:val="00D0324B"/>
    <w:rsid w:val="00D03815"/>
    <w:rsid w:val="00D03DF4"/>
    <w:rsid w:val="00D05445"/>
    <w:rsid w:val="00D05897"/>
    <w:rsid w:val="00D06F6B"/>
    <w:rsid w:val="00D06F75"/>
    <w:rsid w:val="00D0731D"/>
    <w:rsid w:val="00D104A0"/>
    <w:rsid w:val="00D10759"/>
    <w:rsid w:val="00D10F0A"/>
    <w:rsid w:val="00D11663"/>
    <w:rsid w:val="00D11CE5"/>
    <w:rsid w:val="00D1743B"/>
    <w:rsid w:val="00D17DF1"/>
    <w:rsid w:val="00D208E7"/>
    <w:rsid w:val="00D22796"/>
    <w:rsid w:val="00D22C16"/>
    <w:rsid w:val="00D2370B"/>
    <w:rsid w:val="00D2623C"/>
    <w:rsid w:val="00D2798A"/>
    <w:rsid w:val="00D308DA"/>
    <w:rsid w:val="00D30CA3"/>
    <w:rsid w:val="00D31BE3"/>
    <w:rsid w:val="00D32184"/>
    <w:rsid w:val="00D329AD"/>
    <w:rsid w:val="00D34137"/>
    <w:rsid w:val="00D3454B"/>
    <w:rsid w:val="00D34B2A"/>
    <w:rsid w:val="00D355B5"/>
    <w:rsid w:val="00D356D4"/>
    <w:rsid w:val="00D4050D"/>
    <w:rsid w:val="00D408D7"/>
    <w:rsid w:val="00D43640"/>
    <w:rsid w:val="00D4449F"/>
    <w:rsid w:val="00D46EF1"/>
    <w:rsid w:val="00D46FA1"/>
    <w:rsid w:val="00D47ACC"/>
    <w:rsid w:val="00D50C3E"/>
    <w:rsid w:val="00D53154"/>
    <w:rsid w:val="00D53DB8"/>
    <w:rsid w:val="00D546A8"/>
    <w:rsid w:val="00D56E59"/>
    <w:rsid w:val="00D57E22"/>
    <w:rsid w:val="00D60F88"/>
    <w:rsid w:val="00D61F71"/>
    <w:rsid w:val="00D62C75"/>
    <w:rsid w:val="00D6458F"/>
    <w:rsid w:val="00D64AE3"/>
    <w:rsid w:val="00D6526B"/>
    <w:rsid w:val="00D654DA"/>
    <w:rsid w:val="00D65F92"/>
    <w:rsid w:val="00D66DAE"/>
    <w:rsid w:val="00D67148"/>
    <w:rsid w:val="00D70815"/>
    <w:rsid w:val="00D70928"/>
    <w:rsid w:val="00D711FE"/>
    <w:rsid w:val="00D71852"/>
    <w:rsid w:val="00D7275D"/>
    <w:rsid w:val="00D73BDA"/>
    <w:rsid w:val="00D74ECC"/>
    <w:rsid w:val="00D761FB"/>
    <w:rsid w:val="00D76DC3"/>
    <w:rsid w:val="00D777D7"/>
    <w:rsid w:val="00D866CF"/>
    <w:rsid w:val="00D870A9"/>
    <w:rsid w:val="00D877B6"/>
    <w:rsid w:val="00D8790E"/>
    <w:rsid w:val="00D87BDC"/>
    <w:rsid w:val="00D87CEF"/>
    <w:rsid w:val="00D9415E"/>
    <w:rsid w:val="00D94BB3"/>
    <w:rsid w:val="00D95B7E"/>
    <w:rsid w:val="00D97922"/>
    <w:rsid w:val="00D9797A"/>
    <w:rsid w:val="00DA1071"/>
    <w:rsid w:val="00DA11E0"/>
    <w:rsid w:val="00DA12F4"/>
    <w:rsid w:val="00DA56D1"/>
    <w:rsid w:val="00DA6048"/>
    <w:rsid w:val="00DA7374"/>
    <w:rsid w:val="00DB1BA5"/>
    <w:rsid w:val="00DB25D9"/>
    <w:rsid w:val="00DB3FED"/>
    <w:rsid w:val="00DB435B"/>
    <w:rsid w:val="00DB4CEB"/>
    <w:rsid w:val="00DB4D33"/>
    <w:rsid w:val="00DB4FD8"/>
    <w:rsid w:val="00DB5B3B"/>
    <w:rsid w:val="00DB616A"/>
    <w:rsid w:val="00DB659F"/>
    <w:rsid w:val="00DB7107"/>
    <w:rsid w:val="00DC11A6"/>
    <w:rsid w:val="00DC1A41"/>
    <w:rsid w:val="00DC2CD5"/>
    <w:rsid w:val="00DC52E2"/>
    <w:rsid w:val="00DC5A2A"/>
    <w:rsid w:val="00DC635F"/>
    <w:rsid w:val="00DC684C"/>
    <w:rsid w:val="00DC6E40"/>
    <w:rsid w:val="00DC7B19"/>
    <w:rsid w:val="00DD0501"/>
    <w:rsid w:val="00DD0530"/>
    <w:rsid w:val="00DD0A0C"/>
    <w:rsid w:val="00DD1108"/>
    <w:rsid w:val="00DD3EFB"/>
    <w:rsid w:val="00DD41E5"/>
    <w:rsid w:val="00DD4365"/>
    <w:rsid w:val="00DD546E"/>
    <w:rsid w:val="00DE04B3"/>
    <w:rsid w:val="00DE050B"/>
    <w:rsid w:val="00DE0DE1"/>
    <w:rsid w:val="00DE163A"/>
    <w:rsid w:val="00DE1868"/>
    <w:rsid w:val="00DE1AB0"/>
    <w:rsid w:val="00DE1AE1"/>
    <w:rsid w:val="00DE1B72"/>
    <w:rsid w:val="00DE2397"/>
    <w:rsid w:val="00DE361A"/>
    <w:rsid w:val="00DE3F22"/>
    <w:rsid w:val="00DE4A20"/>
    <w:rsid w:val="00DE58A6"/>
    <w:rsid w:val="00DF0B99"/>
    <w:rsid w:val="00DF1D91"/>
    <w:rsid w:val="00DF25B5"/>
    <w:rsid w:val="00DF32A5"/>
    <w:rsid w:val="00DF3751"/>
    <w:rsid w:val="00DF456A"/>
    <w:rsid w:val="00DF4D8C"/>
    <w:rsid w:val="00DF50F5"/>
    <w:rsid w:val="00DF53B0"/>
    <w:rsid w:val="00DF55C7"/>
    <w:rsid w:val="00DF6781"/>
    <w:rsid w:val="00DF6D45"/>
    <w:rsid w:val="00E0075D"/>
    <w:rsid w:val="00E01D16"/>
    <w:rsid w:val="00E02E4D"/>
    <w:rsid w:val="00E0362D"/>
    <w:rsid w:val="00E04894"/>
    <w:rsid w:val="00E05E8E"/>
    <w:rsid w:val="00E06061"/>
    <w:rsid w:val="00E06117"/>
    <w:rsid w:val="00E07296"/>
    <w:rsid w:val="00E07D06"/>
    <w:rsid w:val="00E07D7A"/>
    <w:rsid w:val="00E11B2C"/>
    <w:rsid w:val="00E128D0"/>
    <w:rsid w:val="00E13161"/>
    <w:rsid w:val="00E13234"/>
    <w:rsid w:val="00E13CCB"/>
    <w:rsid w:val="00E13E0C"/>
    <w:rsid w:val="00E14857"/>
    <w:rsid w:val="00E179E7"/>
    <w:rsid w:val="00E17EC2"/>
    <w:rsid w:val="00E20295"/>
    <w:rsid w:val="00E20B57"/>
    <w:rsid w:val="00E21745"/>
    <w:rsid w:val="00E21F7B"/>
    <w:rsid w:val="00E25552"/>
    <w:rsid w:val="00E25D92"/>
    <w:rsid w:val="00E25E13"/>
    <w:rsid w:val="00E25E19"/>
    <w:rsid w:val="00E27D43"/>
    <w:rsid w:val="00E313E1"/>
    <w:rsid w:val="00E316F7"/>
    <w:rsid w:val="00E32039"/>
    <w:rsid w:val="00E335B5"/>
    <w:rsid w:val="00E3483F"/>
    <w:rsid w:val="00E360E6"/>
    <w:rsid w:val="00E36256"/>
    <w:rsid w:val="00E40E2E"/>
    <w:rsid w:val="00E41B1E"/>
    <w:rsid w:val="00E431D5"/>
    <w:rsid w:val="00E43246"/>
    <w:rsid w:val="00E4389B"/>
    <w:rsid w:val="00E43A27"/>
    <w:rsid w:val="00E44BE3"/>
    <w:rsid w:val="00E45766"/>
    <w:rsid w:val="00E45C0C"/>
    <w:rsid w:val="00E46809"/>
    <w:rsid w:val="00E476DD"/>
    <w:rsid w:val="00E47C54"/>
    <w:rsid w:val="00E47C65"/>
    <w:rsid w:val="00E47E8F"/>
    <w:rsid w:val="00E51298"/>
    <w:rsid w:val="00E52749"/>
    <w:rsid w:val="00E52AD8"/>
    <w:rsid w:val="00E52CFB"/>
    <w:rsid w:val="00E5396F"/>
    <w:rsid w:val="00E53FD9"/>
    <w:rsid w:val="00E54972"/>
    <w:rsid w:val="00E55696"/>
    <w:rsid w:val="00E5752E"/>
    <w:rsid w:val="00E57D1C"/>
    <w:rsid w:val="00E57E92"/>
    <w:rsid w:val="00E60252"/>
    <w:rsid w:val="00E6124D"/>
    <w:rsid w:val="00E61E98"/>
    <w:rsid w:val="00E622FA"/>
    <w:rsid w:val="00E62B15"/>
    <w:rsid w:val="00E63C81"/>
    <w:rsid w:val="00E67853"/>
    <w:rsid w:val="00E67C49"/>
    <w:rsid w:val="00E67EAB"/>
    <w:rsid w:val="00E70A62"/>
    <w:rsid w:val="00E7107F"/>
    <w:rsid w:val="00E7181F"/>
    <w:rsid w:val="00E71E34"/>
    <w:rsid w:val="00E7219D"/>
    <w:rsid w:val="00E725EA"/>
    <w:rsid w:val="00E732CD"/>
    <w:rsid w:val="00E737C7"/>
    <w:rsid w:val="00E73E6A"/>
    <w:rsid w:val="00E7525E"/>
    <w:rsid w:val="00E75379"/>
    <w:rsid w:val="00E769FA"/>
    <w:rsid w:val="00E77192"/>
    <w:rsid w:val="00E80367"/>
    <w:rsid w:val="00E80704"/>
    <w:rsid w:val="00E8080A"/>
    <w:rsid w:val="00E81544"/>
    <w:rsid w:val="00E83484"/>
    <w:rsid w:val="00E84B09"/>
    <w:rsid w:val="00E85825"/>
    <w:rsid w:val="00E86203"/>
    <w:rsid w:val="00E87492"/>
    <w:rsid w:val="00E876D7"/>
    <w:rsid w:val="00E90EAD"/>
    <w:rsid w:val="00E92480"/>
    <w:rsid w:val="00E92866"/>
    <w:rsid w:val="00E92BCD"/>
    <w:rsid w:val="00E93343"/>
    <w:rsid w:val="00E93997"/>
    <w:rsid w:val="00E93C55"/>
    <w:rsid w:val="00E95D03"/>
    <w:rsid w:val="00E95DCD"/>
    <w:rsid w:val="00E9661C"/>
    <w:rsid w:val="00E975B9"/>
    <w:rsid w:val="00EA013F"/>
    <w:rsid w:val="00EA0863"/>
    <w:rsid w:val="00EA1F68"/>
    <w:rsid w:val="00EA2280"/>
    <w:rsid w:val="00EA2F14"/>
    <w:rsid w:val="00EA31AA"/>
    <w:rsid w:val="00EA3A5D"/>
    <w:rsid w:val="00EA40A1"/>
    <w:rsid w:val="00EA576D"/>
    <w:rsid w:val="00EA688D"/>
    <w:rsid w:val="00EA6D61"/>
    <w:rsid w:val="00EA7228"/>
    <w:rsid w:val="00EA78DF"/>
    <w:rsid w:val="00EB0B50"/>
    <w:rsid w:val="00EB0BFA"/>
    <w:rsid w:val="00EB1343"/>
    <w:rsid w:val="00EB1E98"/>
    <w:rsid w:val="00EB2D13"/>
    <w:rsid w:val="00EB3DE6"/>
    <w:rsid w:val="00EB42C8"/>
    <w:rsid w:val="00EB4349"/>
    <w:rsid w:val="00EB4B05"/>
    <w:rsid w:val="00EB548B"/>
    <w:rsid w:val="00EB597F"/>
    <w:rsid w:val="00EB5C32"/>
    <w:rsid w:val="00EB5E0A"/>
    <w:rsid w:val="00EB60B2"/>
    <w:rsid w:val="00EB6C37"/>
    <w:rsid w:val="00EB6E39"/>
    <w:rsid w:val="00EB7482"/>
    <w:rsid w:val="00EB76FF"/>
    <w:rsid w:val="00EB7E67"/>
    <w:rsid w:val="00EC0CB2"/>
    <w:rsid w:val="00EC12E6"/>
    <w:rsid w:val="00EC1CE8"/>
    <w:rsid w:val="00EC3273"/>
    <w:rsid w:val="00EC57F9"/>
    <w:rsid w:val="00EC5E77"/>
    <w:rsid w:val="00EC6F50"/>
    <w:rsid w:val="00EC7066"/>
    <w:rsid w:val="00ED049A"/>
    <w:rsid w:val="00ED05E6"/>
    <w:rsid w:val="00ED0633"/>
    <w:rsid w:val="00ED0EA2"/>
    <w:rsid w:val="00ED17FD"/>
    <w:rsid w:val="00ED1B2D"/>
    <w:rsid w:val="00ED1BFE"/>
    <w:rsid w:val="00ED1F01"/>
    <w:rsid w:val="00ED334F"/>
    <w:rsid w:val="00ED45AA"/>
    <w:rsid w:val="00ED6B11"/>
    <w:rsid w:val="00ED7405"/>
    <w:rsid w:val="00EE07BD"/>
    <w:rsid w:val="00EE13E1"/>
    <w:rsid w:val="00EE1EEF"/>
    <w:rsid w:val="00EE3897"/>
    <w:rsid w:val="00EF02D6"/>
    <w:rsid w:val="00EF090A"/>
    <w:rsid w:val="00EF1547"/>
    <w:rsid w:val="00EF2FF1"/>
    <w:rsid w:val="00EF3AA6"/>
    <w:rsid w:val="00EF4141"/>
    <w:rsid w:val="00EF44AD"/>
    <w:rsid w:val="00EF4654"/>
    <w:rsid w:val="00EF55D0"/>
    <w:rsid w:val="00F0055E"/>
    <w:rsid w:val="00F01A5E"/>
    <w:rsid w:val="00F050CE"/>
    <w:rsid w:val="00F0613D"/>
    <w:rsid w:val="00F127A0"/>
    <w:rsid w:val="00F12DB9"/>
    <w:rsid w:val="00F14788"/>
    <w:rsid w:val="00F15031"/>
    <w:rsid w:val="00F16DFB"/>
    <w:rsid w:val="00F17880"/>
    <w:rsid w:val="00F1793F"/>
    <w:rsid w:val="00F17EF1"/>
    <w:rsid w:val="00F20120"/>
    <w:rsid w:val="00F21220"/>
    <w:rsid w:val="00F222A5"/>
    <w:rsid w:val="00F22B47"/>
    <w:rsid w:val="00F239B5"/>
    <w:rsid w:val="00F24C1C"/>
    <w:rsid w:val="00F25492"/>
    <w:rsid w:val="00F2613E"/>
    <w:rsid w:val="00F26CB9"/>
    <w:rsid w:val="00F26D8C"/>
    <w:rsid w:val="00F2735F"/>
    <w:rsid w:val="00F27A40"/>
    <w:rsid w:val="00F30874"/>
    <w:rsid w:val="00F30D4B"/>
    <w:rsid w:val="00F30ED0"/>
    <w:rsid w:val="00F3154D"/>
    <w:rsid w:val="00F32720"/>
    <w:rsid w:val="00F32EA9"/>
    <w:rsid w:val="00F33B24"/>
    <w:rsid w:val="00F343E4"/>
    <w:rsid w:val="00F35715"/>
    <w:rsid w:val="00F365C3"/>
    <w:rsid w:val="00F376BA"/>
    <w:rsid w:val="00F3776A"/>
    <w:rsid w:val="00F403C4"/>
    <w:rsid w:val="00F40997"/>
    <w:rsid w:val="00F40A37"/>
    <w:rsid w:val="00F40DD3"/>
    <w:rsid w:val="00F41621"/>
    <w:rsid w:val="00F41C44"/>
    <w:rsid w:val="00F41D5F"/>
    <w:rsid w:val="00F42437"/>
    <w:rsid w:val="00F42893"/>
    <w:rsid w:val="00F42C59"/>
    <w:rsid w:val="00F42F95"/>
    <w:rsid w:val="00F43E4B"/>
    <w:rsid w:val="00F4655E"/>
    <w:rsid w:val="00F46AA4"/>
    <w:rsid w:val="00F46F3D"/>
    <w:rsid w:val="00F50790"/>
    <w:rsid w:val="00F50D38"/>
    <w:rsid w:val="00F51E97"/>
    <w:rsid w:val="00F55740"/>
    <w:rsid w:val="00F56EB7"/>
    <w:rsid w:val="00F578DE"/>
    <w:rsid w:val="00F603B5"/>
    <w:rsid w:val="00F616E8"/>
    <w:rsid w:val="00F61D7E"/>
    <w:rsid w:val="00F63DB9"/>
    <w:rsid w:val="00F653C6"/>
    <w:rsid w:val="00F66F5D"/>
    <w:rsid w:val="00F6711D"/>
    <w:rsid w:val="00F701A1"/>
    <w:rsid w:val="00F70BC6"/>
    <w:rsid w:val="00F71276"/>
    <w:rsid w:val="00F713D6"/>
    <w:rsid w:val="00F7267B"/>
    <w:rsid w:val="00F727EF"/>
    <w:rsid w:val="00F72BD1"/>
    <w:rsid w:val="00F73390"/>
    <w:rsid w:val="00F73C02"/>
    <w:rsid w:val="00F75494"/>
    <w:rsid w:val="00F75804"/>
    <w:rsid w:val="00F76931"/>
    <w:rsid w:val="00F77CCD"/>
    <w:rsid w:val="00F80198"/>
    <w:rsid w:val="00F80F2C"/>
    <w:rsid w:val="00F83190"/>
    <w:rsid w:val="00F8350B"/>
    <w:rsid w:val="00F83E88"/>
    <w:rsid w:val="00F83EF6"/>
    <w:rsid w:val="00F8401B"/>
    <w:rsid w:val="00F840DA"/>
    <w:rsid w:val="00F8415D"/>
    <w:rsid w:val="00F84307"/>
    <w:rsid w:val="00F847F5"/>
    <w:rsid w:val="00F9043F"/>
    <w:rsid w:val="00F9180B"/>
    <w:rsid w:val="00F91D4D"/>
    <w:rsid w:val="00F922FC"/>
    <w:rsid w:val="00F92950"/>
    <w:rsid w:val="00F92D39"/>
    <w:rsid w:val="00F93932"/>
    <w:rsid w:val="00F93A2D"/>
    <w:rsid w:val="00F93AEE"/>
    <w:rsid w:val="00F96121"/>
    <w:rsid w:val="00F973DF"/>
    <w:rsid w:val="00F97C6D"/>
    <w:rsid w:val="00FA0783"/>
    <w:rsid w:val="00FA21A5"/>
    <w:rsid w:val="00FA2542"/>
    <w:rsid w:val="00FA2FB6"/>
    <w:rsid w:val="00FA3773"/>
    <w:rsid w:val="00FA593E"/>
    <w:rsid w:val="00FB033D"/>
    <w:rsid w:val="00FB1C83"/>
    <w:rsid w:val="00FB6B67"/>
    <w:rsid w:val="00FC06DB"/>
    <w:rsid w:val="00FC14BA"/>
    <w:rsid w:val="00FC1B96"/>
    <w:rsid w:val="00FC50A9"/>
    <w:rsid w:val="00FD1073"/>
    <w:rsid w:val="00FD3312"/>
    <w:rsid w:val="00FD3785"/>
    <w:rsid w:val="00FD4009"/>
    <w:rsid w:val="00FD4A62"/>
    <w:rsid w:val="00FD4CCD"/>
    <w:rsid w:val="00FD63C9"/>
    <w:rsid w:val="00FD7649"/>
    <w:rsid w:val="00FE164A"/>
    <w:rsid w:val="00FE20A3"/>
    <w:rsid w:val="00FE243F"/>
    <w:rsid w:val="00FE2BB4"/>
    <w:rsid w:val="00FE37CF"/>
    <w:rsid w:val="00FE3DD5"/>
    <w:rsid w:val="00FE3E42"/>
    <w:rsid w:val="00FE3F2C"/>
    <w:rsid w:val="00FF0AB7"/>
    <w:rsid w:val="00FF13C2"/>
    <w:rsid w:val="00FF1ACE"/>
    <w:rsid w:val="00FF1CD0"/>
    <w:rsid w:val="00FF39ED"/>
    <w:rsid w:val="00FF409C"/>
    <w:rsid w:val="00FF46A3"/>
    <w:rsid w:val="00FF4787"/>
    <w:rsid w:val="00FF5BD4"/>
    <w:rsid w:val="00FF60F1"/>
    <w:rsid w:val="00FF6CCA"/>
    <w:rsid w:val="01A85D51"/>
    <w:rsid w:val="01FB0F02"/>
    <w:rsid w:val="0240310F"/>
    <w:rsid w:val="0264726A"/>
    <w:rsid w:val="02C975A1"/>
    <w:rsid w:val="02E337F7"/>
    <w:rsid w:val="03005E77"/>
    <w:rsid w:val="03376899"/>
    <w:rsid w:val="04E566E0"/>
    <w:rsid w:val="052971A9"/>
    <w:rsid w:val="05750C56"/>
    <w:rsid w:val="05C444B9"/>
    <w:rsid w:val="064E48E4"/>
    <w:rsid w:val="06CA253D"/>
    <w:rsid w:val="07342561"/>
    <w:rsid w:val="074E7BCE"/>
    <w:rsid w:val="07580B37"/>
    <w:rsid w:val="07D929D6"/>
    <w:rsid w:val="07DA627C"/>
    <w:rsid w:val="082F2519"/>
    <w:rsid w:val="091805FA"/>
    <w:rsid w:val="09A95A02"/>
    <w:rsid w:val="0A1B4CB7"/>
    <w:rsid w:val="0A3864D3"/>
    <w:rsid w:val="0A960A6B"/>
    <w:rsid w:val="0B3D667F"/>
    <w:rsid w:val="0B553D20"/>
    <w:rsid w:val="0BA43A83"/>
    <w:rsid w:val="0BBD33BC"/>
    <w:rsid w:val="0C393981"/>
    <w:rsid w:val="0C8B2759"/>
    <w:rsid w:val="0CA066E9"/>
    <w:rsid w:val="0CBF0B9E"/>
    <w:rsid w:val="0CE2526B"/>
    <w:rsid w:val="0CE77D67"/>
    <w:rsid w:val="0D212781"/>
    <w:rsid w:val="0D465CA4"/>
    <w:rsid w:val="0D7A3C37"/>
    <w:rsid w:val="0D7C082F"/>
    <w:rsid w:val="0D9E2D17"/>
    <w:rsid w:val="0DAE3A79"/>
    <w:rsid w:val="0E073B32"/>
    <w:rsid w:val="0E0E7C07"/>
    <w:rsid w:val="0E7B0FCE"/>
    <w:rsid w:val="0E9E1929"/>
    <w:rsid w:val="0FAA4681"/>
    <w:rsid w:val="0FED487E"/>
    <w:rsid w:val="10324282"/>
    <w:rsid w:val="106B6AD1"/>
    <w:rsid w:val="109756E0"/>
    <w:rsid w:val="10D935B6"/>
    <w:rsid w:val="11323006"/>
    <w:rsid w:val="128235DD"/>
    <w:rsid w:val="12B934DA"/>
    <w:rsid w:val="130561C3"/>
    <w:rsid w:val="14DE5C5C"/>
    <w:rsid w:val="15C56A7A"/>
    <w:rsid w:val="16D10186"/>
    <w:rsid w:val="16E80C16"/>
    <w:rsid w:val="1729478D"/>
    <w:rsid w:val="176E49BB"/>
    <w:rsid w:val="179476C0"/>
    <w:rsid w:val="179E678C"/>
    <w:rsid w:val="17C11489"/>
    <w:rsid w:val="189B3680"/>
    <w:rsid w:val="18AD4BFF"/>
    <w:rsid w:val="18F37025"/>
    <w:rsid w:val="19896E9A"/>
    <w:rsid w:val="19C64063"/>
    <w:rsid w:val="19F83C45"/>
    <w:rsid w:val="19FA594B"/>
    <w:rsid w:val="19FE70FC"/>
    <w:rsid w:val="1A2B6812"/>
    <w:rsid w:val="1A3C32CC"/>
    <w:rsid w:val="1B141C3E"/>
    <w:rsid w:val="1B645FDE"/>
    <w:rsid w:val="1BAF5EC7"/>
    <w:rsid w:val="1BE41BC3"/>
    <w:rsid w:val="1BFB4027"/>
    <w:rsid w:val="1C0C656B"/>
    <w:rsid w:val="1C164F14"/>
    <w:rsid w:val="1C65722B"/>
    <w:rsid w:val="1C7E39FE"/>
    <w:rsid w:val="1C9A5DF9"/>
    <w:rsid w:val="1CE617B0"/>
    <w:rsid w:val="1D262E41"/>
    <w:rsid w:val="1D9C2511"/>
    <w:rsid w:val="1DB36D58"/>
    <w:rsid w:val="1DE44A10"/>
    <w:rsid w:val="1E1E7279"/>
    <w:rsid w:val="1E8F3340"/>
    <w:rsid w:val="1ECA5375"/>
    <w:rsid w:val="1EDB4ED0"/>
    <w:rsid w:val="1EF075D2"/>
    <w:rsid w:val="1F1C6739"/>
    <w:rsid w:val="1FA55DFC"/>
    <w:rsid w:val="1FDA4FE9"/>
    <w:rsid w:val="1FFC2F87"/>
    <w:rsid w:val="205F6556"/>
    <w:rsid w:val="20A7101D"/>
    <w:rsid w:val="20B46EB2"/>
    <w:rsid w:val="21BB65C8"/>
    <w:rsid w:val="221F3CDD"/>
    <w:rsid w:val="224249C3"/>
    <w:rsid w:val="225A62E9"/>
    <w:rsid w:val="22731552"/>
    <w:rsid w:val="228D396C"/>
    <w:rsid w:val="22F8048F"/>
    <w:rsid w:val="23D354BD"/>
    <w:rsid w:val="243B4281"/>
    <w:rsid w:val="24431BDE"/>
    <w:rsid w:val="245022DC"/>
    <w:rsid w:val="248C0D8D"/>
    <w:rsid w:val="24BD358B"/>
    <w:rsid w:val="24C818E6"/>
    <w:rsid w:val="24E0090C"/>
    <w:rsid w:val="251E4A80"/>
    <w:rsid w:val="2551197C"/>
    <w:rsid w:val="25950D9D"/>
    <w:rsid w:val="25FE2B31"/>
    <w:rsid w:val="26373F08"/>
    <w:rsid w:val="26500679"/>
    <w:rsid w:val="26C71F4E"/>
    <w:rsid w:val="26F95DE2"/>
    <w:rsid w:val="27A73719"/>
    <w:rsid w:val="28425BE9"/>
    <w:rsid w:val="28846158"/>
    <w:rsid w:val="28C74ECF"/>
    <w:rsid w:val="28FB0BB1"/>
    <w:rsid w:val="290A1803"/>
    <w:rsid w:val="297E60A1"/>
    <w:rsid w:val="297F6691"/>
    <w:rsid w:val="29897A35"/>
    <w:rsid w:val="29EB3B6B"/>
    <w:rsid w:val="2A704853"/>
    <w:rsid w:val="2AA02B44"/>
    <w:rsid w:val="2BD22234"/>
    <w:rsid w:val="2C4C7156"/>
    <w:rsid w:val="2C593269"/>
    <w:rsid w:val="2CA450CE"/>
    <w:rsid w:val="2D051173"/>
    <w:rsid w:val="2D594B32"/>
    <w:rsid w:val="2D75641D"/>
    <w:rsid w:val="2DA328D9"/>
    <w:rsid w:val="2E6D4CBD"/>
    <w:rsid w:val="2EB5507F"/>
    <w:rsid w:val="2EE55A3B"/>
    <w:rsid w:val="2EE96E9D"/>
    <w:rsid w:val="2F4E2E5C"/>
    <w:rsid w:val="2F84370C"/>
    <w:rsid w:val="2FD51F89"/>
    <w:rsid w:val="2FD848B8"/>
    <w:rsid w:val="309A66A0"/>
    <w:rsid w:val="311B6FA8"/>
    <w:rsid w:val="31B4577A"/>
    <w:rsid w:val="31B84E2C"/>
    <w:rsid w:val="32063667"/>
    <w:rsid w:val="322D5E7C"/>
    <w:rsid w:val="32347428"/>
    <w:rsid w:val="32674CE9"/>
    <w:rsid w:val="32846B28"/>
    <w:rsid w:val="32A72C06"/>
    <w:rsid w:val="32CF5928"/>
    <w:rsid w:val="331738A7"/>
    <w:rsid w:val="3350190E"/>
    <w:rsid w:val="33B850E7"/>
    <w:rsid w:val="33DA2EB8"/>
    <w:rsid w:val="34055216"/>
    <w:rsid w:val="34621C0C"/>
    <w:rsid w:val="34972263"/>
    <w:rsid w:val="34C3224B"/>
    <w:rsid w:val="3570341F"/>
    <w:rsid w:val="363362A4"/>
    <w:rsid w:val="368B37F2"/>
    <w:rsid w:val="36AA4D7E"/>
    <w:rsid w:val="37266F8E"/>
    <w:rsid w:val="37446678"/>
    <w:rsid w:val="37556BD7"/>
    <w:rsid w:val="37A12A4B"/>
    <w:rsid w:val="37D33C75"/>
    <w:rsid w:val="381B7DDA"/>
    <w:rsid w:val="38DF1EBC"/>
    <w:rsid w:val="38FB5D20"/>
    <w:rsid w:val="39205F97"/>
    <w:rsid w:val="392448A2"/>
    <w:rsid w:val="395A5F36"/>
    <w:rsid w:val="398C17A1"/>
    <w:rsid w:val="39DD0B8C"/>
    <w:rsid w:val="3A427935"/>
    <w:rsid w:val="3A497757"/>
    <w:rsid w:val="3A5B100F"/>
    <w:rsid w:val="3A7970A4"/>
    <w:rsid w:val="3AAC3D6F"/>
    <w:rsid w:val="3AE535C6"/>
    <w:rsid w:val="3B1315BC"/>
    <w:rsid w:val="3B4C5C32"/>
    <w:rsid w:val="3B7C2C60"/>
    <w:rsid w:val="3BA810F0"/>
    <w:rsid w:val="3BD115FA"/>
    <w:rsid w:val="3C2D1070"/>
    <w:rsid w:val="3C68729C"/>
    <w:rsid w:val="3C6E5764"/>
    <w:rsid w:val="3CCE4AC6"/>
    <w:rsid w:val="3D1E390A"/>
    <w:rsid w:val="3D3F4511"/>
    <w:rsid w:val="3D452602"/>
    <w:rsid w:val="3DF2644C"/>
    <w:rsid w:val="3E4539BB"/>
    <w:rsid w:val="3E5724D8"/>
    <w:rsid w:val="3E632685"/>
    <w:rsid w:val="3E695159"/>
    <w:rsid w:val="3ED24595"/>
    <w:rsid w:val="3F1439EF"/>
    <w:rsid w:val="3F955555"/>
    <w:rsid w:val="40462E0E"/>
    <w:rsid w:val="40CA68E6"/>
    <w:rsid w:val="413D624B"/>
    <w:rsid w:val="41533BE0"/>
    <w:rsid w:val="41747836"/>
    <w:rsid w:val="418E5F9D"/>
    <w:rsid w:val="41CB4077"/>
    <w:rsid w:val="42391FD5"/>
    <w:rsid w:val="42492EE3"/>
    <w:rsid w:val="424C4C28"/>
    <w:rsid w:val="426D24C4"/>
    <w:rsid w:val="4275143C"/>
    <w:rsid w:val="42766CC6"/>
    <w:rsid w:val="42830090"/>
    <w:rsid w:val="428C3EDF"/>
    <w:rsid w:val="42A578B5"/>
    <w:rsid w:val="43AF0A03"/>
    <w:rsid w:val="43BD07B0"/>
    <w:rsid w:val="43C85F73"/>
    <w:rsid w:val="43E62DD1"/>
    <w:rsid w:val="43FA218A"/>
    <w:rsid w:val="44102BCD"/>
    <w:rsid w:val="443B3D36"/>
    <w:rsid w:val="447357DC"/>
    <w:rsid w:val="44A00052"/>
    <w:rsid w:val="44FA2E9F"/>
    <w:rsid w:val="45574CCE"/>
    <w:rsid w:val="457C2D10"/>
    <w:rsid w:val="45B61021"/>
    <w:rsid w:val="45CC59C0"/>
    <w:rsid w:val="45D42B14"/>
    <w:rsid w:val="46464A8E"/>
    <w:rsid w:val="4686686B"/>
    <w:rsid w:val="468B50CB"/>
    <w:rsid w:val="470D65F5"/>
    <w:rsid w:val="47287A4D"/>
    <w:rsid w:val="47471FA4"/>
    <w:rsid w:val="47867EDA"/>
    <w:rsid w:val="47F8015C"/>
    <w:rsid w:val="488820B1"/>
    <w:rsid w:val="48FE65BC"/>
    <w:rsid w:val="491C3583"/>
    <w:rsid w:val="492412FB"/>
    <w:rsid w:val="49303E4C"/>
    <w:rsid w:val="49373740"/>
    <w:rsid w:val="49B20A69"/>
    <w:rsid w:val="49C66DC1"/>
    <w:rsid w:val="4A65690E"/>
    <w:rsid w:val="4A814090"/>
    <w:rsid w:val="4B082AD3"/>
    <w:rsid w:val="4B2F126D"/>
    <w:rsid w:val="4B73741D"/>
    <w:rsid w:val="4B756F8C"/>
    <w:rsid w:val="4BD3400F"/>
    <w:rsid w:val="4BEE0168"/>
    <w:rsid w:val="4C3B3C92"/>
    <w:rsid w:val="4CD452E0"/>
    <w:rsid w:val="4CE1122E"/>
    <w:rsid w:val="4CFD4D46"/>
    <w:rsid w:val="4D5F50A3"/>
    <w:rsid w:val="4D6B272C"/>
    <w:rsid w:val="4DB71593"/>
    <w:rsid w:val="4DD9654B"/>
    <w:rsid w:val="4DEE6FE0"/>
    <w:rsid w:val="4E54616E"/>
    <w:rsid w:val="4E5F2D6C"/>
    <w:rsid w:val="4E83748D"/>
    <w:rsid w:val="4E922C59"/>
    <w:rsid w:val="4EEE6A9D"/>
    <w:rsid w:val="4F9A1E02"/>
    <w:rsid w:val="4FDD292C"/>
    <w:rsid w:val="5010149C"/>
    <w:rsid w:val="505C3BE7"/>
    <w:rsid w:val="50A03310"/>
    <w:rsid w:val="50E336C1"/>
    <w:rsid w:val="50E4096B"/>
    <w:rsid w:val="50F1062E"/>
    <w:rsid w:val="511C421F"/>
    <w:rsid w:val="51230FED"/>
    <w:rsid w:val="513E6F0F"/>
    <w:rsid w:val="51765142"/>
    <w:rsid w:val="51D1030F"/>
    <w:rsid w:val="51F86890"/>
    <w:rsid w:val="52374C77"/>
    <w:rsid w:val="527E7572"/>
    <w:rsid w:val="52803284"/>
    <w:rsid w:val="53285E27"/>
    <w:rsid w:val="55232F42"/>
    <w:rsid w:val="553735AE"/>
    <w:rsid w:val="55DE67C1"/>
    <w:rsid w:val="566876B0"/>
    <w:rsid w:val="56AB50DA"/>
    <w:rsid w:val="56B25804"/>
    <w:rsid w:val="56C0393F"/>
    <w:rsid w:val="577E5426"/>
    <w:rsid w:val="57897141"/>
    <w:rsid w:val="57C74048"/>
    <w:rsid w:val="57C8136F"/>
    <w:rsid w:val="58584DDD"/>
    <w:rsid w:val="586A27D0"/>
    <w:rsid w:val="586F7365"/>
    <w:rsid w:val="58B117FA"/>
    <w:rsid w:val="58B56BB8"/>
    <w:rsid w:val="592F2A32"/>
    <w:rsid w:val="59741FBC"/>
    <w:rsid w:val="598A0A07"/>
    <w:rsid w:val="59C52B98"/>
    <w:rsid w:val="59DC61E6"/>
    <w:rsid w:val="59F31DEE"/>
    <w:rsid w:val="59F44D48"/>
    <w:rsid w:val="5A47502D"/>
    <w:rsid w:val="5A9418A9"/>
    <w:rsid w:val="5ACC4EA1"/>
    <w:rsid w:val="5AE625AD"/>
    <w:rsid w:val="5B35FA5D"/>
    <w:rsid w:val="5B8356AB"/>
    <w:rsid w:val="5BF16559"/>
    <w:rsid w:val="5C9C05B9"/>
    <w:rsid w:val="5CB73B2D"/>
    <w:rsid w:val="5DC944B4"/>
    <w:rsid w:val="5DEA21A7"/>
    <w:rsid w:val="5E9652BC"/>
    <w:rsid w:val="5E9C68C8"/>
    <w:rsid w:val="5E9D6249"/>
    <w:rsid w:val="5E9FA5D9"/>
    <w:rsid w:val="5EB606D2"/>
    <w:rsid w:val="5F3C1E8F"/>
    <w:rsid w:val="5F7316DF"/>
    <w:rsid w:val="5FB540F1"/>
    <w:rsid w:val="608B0118"/>
    <w:rsid w:val="61131245"/>
    <w:rsid w:val="616C7C47"/>
    <w:rsid w:val="61965C29"/>
    <w:rsid w:val="6220453C"/>
    <w:rsid w:val="628C25B1"/>
    <w:rsid w:val="62F13FD7"/>
    <w:rsid w:val="63505783"/>
    <w:rsid w:val="635F7193"/>
    <w:rsid w:val="637F1B3E"/>
    <w:rsid w:val="638031CB"/>
    <w:rsid w:val="638504B3"/>
    <w:rsid w:val="63AC63C4"/>
    <w:rsid w:val="641A7A3C"/>
    <w:rsid w:val="647672A0"/>
    <w:rsid w:val="64883E5F"/>
    <w:rsid w:val="648D35CA"/>
    <w:rsid w:val="649A40E6"/>
    <w:rsid w:val="64DC1CC5"/>
    <w:rsid w:val="652816BF"/>
    <w:rsid w:val="65950EC4"/>
    <w:rsid w:val="65F13829"/>
    <w:rsid w:val="660918F9"/>
    <w:rsid w:val="66C61418"/>
    <w:rsid w:val="66EF6A05"/>
    <w:rsid w:val="672036C9"/>
    <w:rsid w:val="677026C6"/>
    <w:rsid w:val="67FC381F"/>
    <w:rsid w:val="682C526F"/>
    <w:rsid w:val="68777541"/>
    <w:rsid w:val="68BF1E69"/>
    <w:rsid w:val="691F3372"/>
    <w:rsid w:val="6937496B"/>
    <w:rsid w:val="694E7808"/>
    <w:rsid w:val="69564AA1"/>
    <w:rsid w:val="69574B9D"/>
    <w:rsid w:val="698274C7"/>
    <w:rsid w:val="69BB0B2C"/>
    <w:rsid w:val="69E25967"/>
    <w:rsid w:val="69F85048"/>
    <w:rsid w:val="6A0A32B1"/>
    <w:rsid w:val="6A1348B6"/>
    <w:rsid w:val="6A403425"/>
    <w:rsid w:val="6A911080"/>
    <w:rsid w:val="6AE61F48"/>
    <w:rsid w:val="6AE82D1C"/>
    <w:rsid w:val="6B477A2A"/>
    <w:rsid w:val="6B5A4EA4"/>
    <w:rsid w:val="6C300A85"/>
    <w:rsid w:val="6D8603FC"/>
    <w:rsid w:val="6D984053"/>
    <w:rsid w:val="6E4A686E"/>
    <w:rsid w:val="6F822E81"/>
    <w:rsid w:val="6FCA62DC"/>
    <w:rsid w:val="6FDFDC0A"/>
    <w:rsid w:val="702B1BEA"/>
    <w:rsid w:val="70394621"/>
    <w:rsid w:val="703C3F2A"/>
    <w:rsid w:val="704716DB"/>
    <w:rsid w:val="70805AD1"/>
    <w:rsid w:val="708861B8"/>
    <w:rsid w:val="70BA5657"/>
    <w:rsid w:val="70BD124F"/>
    <w:rsid w:val="70CF1EF9"/>
    <w:rsid w:val="71000FCE"/>
    <w:rsid w:val="71451F75"/>
    <w:rsid w:val="717621F9"/>
    <w:rsid w:val="71B32BBF"/>
    <w:rsid w:val="71B82794"/>
    <w:rsid w:val="71C07405"/>
    <w:rsid w:val="71CBBA1B"/>
    <w:rsid w:val="721F148D"/>
    <w:rsid w:val="723746D4"/>
    <w:rsid w:val="72B25695"/>
    <w:rsid w:val="72C36EB5"/>
    <w:rsid w:val="73154050"/>
    <w:rsid w:val="73473CEB"/>
    <w:rsid w:val="74CE4179"/>
    <w:rsid w:val="752F2E44"/>
    <w:rsid w:val="75A31721"/>
    <w:rsid w:val="75ED7F88"/>
    <w:rsid w:val="764D1CB9"/>
    <w:rsid w:val="76560CAB"/>
    <w:rsid w:val="76697EDF"/>
    <w:rsid w:val="76C0240B"/>
    <w:rsid w:val="777C72FE"/>
    <w:rsid w:val="779E7AEC"/>
    <w:rsid w:val="77A46CDC"/>
    <w:rsid w:val="77B94D93"/>
    <w:rsid w:val="77CF3D36"/>
    <w:rsid w:val="77D050AF"/>
    <w:rsid w:val="77F956BF"/>
    <w:rsid w:val="77FB4B82"/>
    <w:rsid w:val="787723BE"/>
    <w:rsid w:val="78847A1B"/>
    <w:rsid w:val="78EC0174"/>
    <w:rsid w:val="791715E5"/>
    <w:rsid w:val="792E135E"/>
    <w:rsid w:val="793E6B13"/>
    <w:rsid w:val="7989025D"/>
    <w:rsid w:val="7A14512C"/>
    <w:rsid w:val="7A334147"/>
    <w:rsid w:val="7A990249"/>
    <w:rsid w:val="7AF74774"/>
    <w:rsid w:val="7B580B80"/>
    <w:rsid w:val="7B72DFE1"/>
    <w:rsid w:val="7BE025DA"/>
    <w:rsid w:val="7BF10398"/>
    <w:rsid w:val="7BFB793B"/>
    <w:rsid w:val="7C6E4EC1"/>
    <w:rsid w:val="7D8A7404"/>
    <w:rsid w:val="7DAA09B0"/>
    <w:rsid w:val="7DE14F1D"/>
    <w:rsid w:val="7DF768D5"/>
    <w:rsid w:val="7E3E7916"/>
    <w:rsid w:val="7E75482F"/>
    <w:rsid w:val="7EA71D7C"/>
    <w:rsid w:val="7EB470EC"/>
    <w:rsid w:val="7EE66CD4"/>
    <w:rsid w:val="7EFF3B67"/>
    <w:rsid w:val="7F195E74"/>
    <w:rsid w:val="7F35093E"/>
    <w:rsid w:val="7F5C30F0"/>
    <w:rsid w:val="7F63180E"/>
    <w:rsid w:val="7F767BD7"/>
    <w:rsid w:val="7F8964AB"/>
    <w:rsid w:val="916F2908"/>
    <w:rsid w:val="BEB708EE"/>
    <w:rsid w:val="DEBB826D"/>
    <w:rsid w:val="E6A346E6"/>
    <w:rsid w:val="EEC51BEC"/>
    <w:rsid w:val="EF39B718"/>
    <w:rsid w:val="F3DC6638"/>
    <w:rsid w:val="F6FF1394"/>
    <w:rsid w:val="F76DA2FA"/>
    <w:rsid w:val="F791ABE0"/>
    <w:rsid w:val="F9FE60CF"/>
    <w:rsid w:val="FAFF24D2"/>
    <w:rsid w:val="FBCE7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Arial" w:hAnsi="Arial" w:eastAsia="黑体" w:cs="Angsana New"/>
      <w:b/>
      <w:kern w:val="0"/>
      <w:sz w:val="32"/>
      <w:szCs w:val="32"/>
      <w:lang w:val="en-US" w:eastAsia="zh-CN" w:bidi="ar"/>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5">
    <w:name w:val="annotation text"/>
    <w:basedOn w:val="1"/>
    <w:link w:val="19"/>
    <w:semiHidden/>
    <w:qFormat/>
    <w:uiPriority w:val="99"/>
    <w:pPr>
      <w:jc w:val="left"/>
    </w:pPr>
    <w:rPr>
      <w:kern w:val="0"/>
      <w:sz w:val="20"/>
      <w:szCs w:val="20"/>
    </w:rPr>
  </w:style>
  <w:style w:type="paragraph" w:styleId="6">
    <w:name w:val="Body Text Indent"/>
    <w:basedOn w:val="1"/>
    <w:link w:val="20"/>
    <w:qFormat/>
    <w:uiPriority w:val="0"/>
    <w:pPr>
      <w:spacing w:after="120"/>
      <w:ind w:left="420" w:leftChars="200"/>
    </w:pPr>
  </w:style>
  <w:style w:type="paragraph" w:styleId="7">
    <w:name w:val="Plain Text"/>
    <w:basedOn w:val="1"/>
    <w:link w:val="21"/>
    <w:qFormat/>
    <w:uiPriority w:val="0"/>
    <w:pPr>
      <w:adjustRightInd w:val="0"/>
      <w:spacing w:line="312" w:lineRule="atLeast"/>
      <w:textAlignment w:val="baseline"/>
    </w:pPr>
    <w:rPr>
      <w:rFonts w:ascii="宋体" w:hAnsi="Courier New"/>
      <w:kern w:val="0"/>
      <w:szCs w:val="21"/>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12">
    <w:name w:val="Normal (Web)"/>
    <w:basedOn w:val="1"/>
    <w:qFormat/>
    <w:uiPriority w:val="0"/>
    <w:rPr>
      <w:sz w:val="24"/>
    </w:rPr>
  </w:style>
  <w:style w:type="paragraph" w:styleId="13">
    <w:name w:val="annotation subject"/>
    <w:basedOn w:val="5"/>
    <w:next w:val="5"/>
    <w:link w:val="25"/>
    <w:qFormat/>
    <w:uiPriority w:val="0"/>
    <w:rPr>
      <w:b/>
      <w:bCs/>
      <w:kern w:val="2"/>
      <w:sz w:val="21"/>
      <w:szCs w:val="24"/>
    </w:rPr>
  </w:style>
  <w:style w:type="table" w:styleId="15">
    <w:name w:val="Table Grid"/>
    <w:basedOn w:val="1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正文文本 字符"/>
    <w:link w:val="2"/>
    <w:qFormat/>
    <w:locked/>
    <w:uiPriority w:val="0"/>
    <w:rPr>
      <w:rFonts w:eastAsia="宋体"/>
      <w:kern w:val="2"/>
      <w:sz w:val="21"/>
      <w:szCs w:val="24"/>
      <w:lang w:val="en-US" w:eastAsia="zh-CN" w:bidi="ar-SA"/>
    </w:rPr>
  </w:style>
  <w:style w:type="character" w:customStyle="1" w:styleId="19">
    <w:name w:val="批注文字 字符"/>
    <w:link w:val="5"/>
    <w:semiHidden/>
    <w:qFormat/>
    <w:uiPriority w:val="99"/>
  </w:style>
  <w:style w:type="character" w:customStyle="1" w:styleId="20">
    <w:name w:val="正文文本缩进 字符"/>
    <w:link w:val="6"/>
    <w:uiPriority w:val="0"/>
    <w:rPr>
      <w:kern w:val="2"/>
      <w:sz w:val="21"/>
      <w:szCs w:val="24"/>
    </w:rPr>
  </w:style>
  <w:style w:type="character" w:customStyle="1" w:styleId="21">
    <w:name w:val="纯文本 字符"/>
    <w:link w:val="7"/>
    <w:qFormat/>
    <w:locked/>
    <w:uiPriority w:val="0"/>
    <w:rPr>
      <w:rFonts w:ascii="宋体" w:hAnsi="Courier New" w:eastAsia="宋体"/>
      <w:sz w:val="21"/>
      <w:szCs w:val="21"/>
      <w:lang w:val="en-US" w:eastAsia="zh-CN" w:bidi="ar-SA"/>
    </w:rPr>
  </w:style>
  <w:style w:type="character" w:customStyle="1" w:styleId="22">
    <w:name w:val="批注框文本 字符"/>
    <w:link w:val="8"/>
    <w:qFormat/>
    <w:uiPriority w:val="0"/>
    <w:rPr>
      <w:kern w:val="2"/>
      <w:sz w:val="18"/>
      <w:szCs w:val="18"/>
    </w:rPr>
  </w:style>
  <w:style w:type="character" w:customStyle="1" w:styleId="23">
    <w:name w:val="页脚 字符"/>
    <w:link w:val="9"/>
    <w:qFormat/>
    <w:locked/>
    <w:uiPriority w:val="0"/>
    <w:rPr>
      <w:rFonts w:eastAsia="宋体"/>
      <w:kern w:val="2"/>
      <w:sz w:val="18"/>
      <w:szCs w:val="18"/>
      <w:lang w:val="en-US" w:eastAsia="zh-CN" w:bidi="ar-SA"/>
    </w:rPr>
  </w:style>
  <w:style w:type="character" w:customStyle="1" w:styleId="24">
    <w:name w:val="页眉 字符"/>
    <w:link w:val="10"/>
    <w:qFormat/>
    <w:locked/>
    <w:uiPriority w:val="0"/>
    <w:rPr>
      <w:rFonts w:eastAsia="宋体"/>
      <w:kern w:val="2"/>
      <w:sz w:val="18"/>
      <w:szCs w:val="18"/>
      <w:lang w:val="en-US" w:eastAsia="zh-CN" w:bidi="ar-SA"/>
    </w:rPr>
  </w:style>
  <w:style w:type="character" w:customStyle="1" w:styleId="25">
    <w:name w:val="批注主题 字符"/>
    <w:link w:val="13"/>
    <w:qFormat/>
    <w:uiPriority w:val="0"/>
    <w:rPr>
      <w:b/>
      <w:bCs/>
      <w:kern w:val="2"/>
      <w:sz w:val="21"/>
      <w:szCs w:val="24"/>
    </w:rPr>
  </w:style>
  <w:style w:type="character" w:customStyle="1" w:styleId="26">
    <w:name w:val="纯文本 字符1"/>
    <w:semiHidden/>
    <w:qFormat/>
    <w:uiPriority w:val="99"/>
    <w:rPr>
      <w:rFonts w:ascii="宋体" w:hAnsi="Courier New" w:eastAsia="宋体" w:cs="Courier New"/>
      <w:szCs w:val="21"/>
    </w:rPr>
  </w:style>
  <w:style w:type="character" w:customStyle="1" w:styleId="27">
    <w:name w:val="15"/>
    <w:qFormat/>
    <w:uiPriority w:val="0"/>
    <w:rPr>
      <w:rFonts w:hint="default" w:ascii="Calibri" w:hAnsi="Calibri" w:cs="Calibri"/>
    </w:rPr>
  </w:style>
  <w:style w:type="character" w:customStyle="1" w:styleId="28">
    <w:name w:val="16"/>
    <w:qFormat/>
    <w:uiPriority w:val="0"/>
    <w:rPr>
      <w:rFonts w:hint="default" w:ascii="Arial" w:hAnsi="Arial" w:eastAsia="黑体" w:cs="Arial"/>
      <w:b/>
      <w:kern w:val="2"/>
      <w:sz w:val="32"/>
      <w:szCs w:val="32"/>
    </w:rPr>
  </w:style>
  <w:style w:type="character" w:customStyle="1" w:styleId="29">
    <w:name w:val="10"/>
    <w:qFormat/>
    <w:uiPriority w:val="0"/>
    <w:rPr>
      <w:rFonts w:hint="default" w:ascii="Calibri" w:hAnsi="Calibri" w:cs="Calibri"/>
    </w:rPr>
  </w:style>
  <w:style w:type="paragraph" w:customStyle="1" w:styleId="30">
    <w:name w:val="List Paragraph"/>
    <w:basedOn w:val="1"/>
    <w:qFormat/>
    <w:uiPriority w:val="0"/>
    <w:pPr>
      <w:ind w:firstLine="420" w:firstLineChars="200"/>
    </w:p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List Paragraph1"/>
    <w:basedOn w:val="1"/>
    <w:qFormat/>
    <w:uiPriority w:val="99"/>
    <w:pPr>
      <w:ind w:firstLine="420" w:firstLineChars="200"/>
    </w:pPr>
  </w:style>
  <w:style w:type="paragraph" w:customStyle="1" w:styleId="33">
    <w:name w:val="MSG_EN_FONT_STYLE_NAME_TEMPLATE_ROLE_NUMBER MSG_EN_FONT_STYLE_NAME_BY_ROLE_TEXT 2"/>
    <w:basedOn w:val="1"/>
    <w:qFormat/>
    <w:uiPriority w:val="99"/>
    <w:pPr>
      <w:shd w:val="clear" w:color="auto" w:fill="FFFFFF"/>
      <w:spacing w:line="518" w:lineRule="exact"/>
      <w:jc w:val="distribute"/>
    </w:pPr>
    <w:rPr>
      <w:rFonts w:ascii="PMingLiU" w:hAnsi="PMingLiU" w:eastAsia="PMingLiU" w:cs="PMingLiU"/>
      <w:spacing w:val="20"/>
      <w:sz w:val="30"/>
      <w:szCs w:val="30"/>
    </w:rPr>
  </w:style>
  <w:style w:type="character" w:customStyle="1" w:styleId="34">
    <w:name w:val="font11"/>
    <w:qFormat/>
    <w:uiPriority w:val="0"/>
    <w:rPr>
      <w:rFonts w:hint="eastAsia" w:ascii="宋体" w:hAnsi="宋体" w:eastAsia="宋体" w:cs="宋体"/>
      <w:color w:val="FF0000"/>
      <w:sz w:val="22"/>
      <w:szCs w:val="22"/>
      <w:u w:val="none"/>
    </w:rPr>
  </w:style>
  <w:style w:type="character" w:customStyle="1" w:styleId="35">
    <w:name w:val="font01"/>
    <w:qFormat/>
    <w:uiPriority w:val="0"/>
    <w:rPr>
      <w:rFonts w:hint="eastAsia" w:ascii="宋体" w:hAnsi="宋体" w:eastAsia="宋体" w:cs="宋体"/>
      <w:color w:val="000000"/>
      <w:sz w:val="22"/>
      <w:szCs w:val="22"/>
      <w:u w:val="none"/>
    </w:rPr>
  </w:style>
  <w:style w:type="paragraph" w:customStyle="1" w:styleId="36">
    <w:name w:val="_Style 3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3532</Words>
  <Characters>20138</Characters>
  <Lines>167</Lines>
  <Paragraphs>47</Paragraphs>
  <TotalTime>0</TotalTime>
  <ScaleCrop>false</ScaleCrop>
  <LinksUpToDate>false</LinksUpToDate>
  <CharactersWithSpaces>23623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2021-12-13T08:34:00Z</dcterms:created>
  <dc:creator>DELL</dc:creator>
  <cp:lastModifiedBy>LX</cp:lastModifiedBy>
  <cp:lastPrinted>2021-08-18T10:03:00Z</cp:lastPrinted>
  <dcterms:modified xsi:type="dcterms:W3CDTF">2021-12-15T09:31:14Z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754B27DD9890437C85C3A1F0A972590F</vt:lpwstr>
  </property>
</Properties>
</file>