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DEEBF7" w:themeColor="accent1" w:themeTint="33"/>
  <w:body>
    <w:p>
      <w:pPr>
        <w:pStyle w:val="12"/>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华文中宋" w:cs="Times New Roman"/>
          <w:color w:val="auto"/>
          <w:sz w:val="44"/>
          <w:szCs w:val="44"/>
          <w:highlight w:val="none"/>
          <w:lang w:eastAsia="zh-CN"/>
        </w:rPr>
      </w:pPr>
      <w:bookmarkStart w:id="8" w:name="_GoBack"/>
      <w:r>
        <w:rPr>
          <w:rFonts w:hint="eastAsia" w:ascii="Times New Roman" w:hAnsi="Times New Roman" w:eastAsia="华文中宋" w:cs="Times New Roman"/>
          <w:color w:val="auto"/>
          <w:sz w:val="44"/>
          <w:szCs w:val="44"/>
          <w:highlight w:val="none"/>
          <w:lang w:eastAsia="zh-CN"/>
        </w:rPr>
        <w:t>云上</w:t>
      </w:r>
      <w:r>
        <w:rPr>
          <w:rFonts w:hint="eastAsia" w:ascii="Times New Roman" w:hAnsi="Times New Roman" w:eastAsia="华文中宋" w:cs="Times New Roman"/>
          <w:color w:val="auto"/>
          <w:sz w:val="44"/>
          <w:szCs w:val="44"/>
          <w:highlight w:val="none"/>
        </w:rPr>
        <w:t>东博</w:t>
      </w:r>
      <w:r>
        <w:rPr>
          <w:rFonts w:hint="eastAsia" w:ascii="Times New Roman" w:hAnsi="Times New Roman" w:eastAsia="华文中宋" w:cs="Times New Roman"/>
          <w:color w:val="auto"/>
          <w:sz w:val="44"/>
          <w:szCs w:val="44"/>
          <w:highlight w:val="none"/>
          <w:lang w:eastAsia="zh-CN"/>
        </w:rPr>
        <w:t>会系统</w:t>
      </w:r>
      <w:r>
        <w:rPr>
          <w:rFonts w:hint="eastAsia" w:ascii="Times New Roman" w:hAnsi="Times New Roman" w:eastAsia="华文中宋" w:cs="Times New Roman"/>
          <w:color w:val="auto"/>
          <w:sz w:val="44"/>
          <w:szCs w:val="44"/>
          <w:highlight w:val="none"/>
          <w:lang w:val="en-US" w:eastAsia="zh-CN"/>
        </w:rPr>
        <w:t>建设</w:t>
      </w:r>
      <w:r>
        <w:rPr>
          <w:rFonts w:hint="eastAsia" w:ascii="Times New Roman" w:hAnsi="Times New Roman" w:eastAsia="华文中宋" w:cs="Times New Roman"/>
          <w:color w:val="auto"/>
          <w:sz w:val="44"/>
          <w:szCs w:val="44"/>
          <w:highlight w:val="none"/>
          <w:lang w:eastAsia="zh-CN"/>
        </w:rPr>
        <w:t>项目立项、</w:t>
      </w:r>
      <w:r>
        <w:rPr>
          <w:rFonts w:hint="eastAsia" w:ascii="Times New Roman" w:hAnsi="Times New Roman" w:eastAsia="华文中宋" w:cs="Times New Roman"/>
          <w:color w:val="auto"/>
          <w:sz w:val="44"/>
          <w:szCs w:val="44"/>
          <w:highlight w:val="none"/>
          <w:lang w:val="en-US" w:eastAsia="zh-CN"/>
        </w:rPr>
        <w:t>投资评审</w:t>
      </w:r>
      <w:r>
        <w:rPr>
          <w:rFonts w:hint="eastAsia" w:ascii="Times New Roman" w:hAnsi="Times New Roman" w:eastAsia="华文中宋" w:cs="Times New Roman"/>
          <w:color w:val="auto"/>
          <w:sz w:val="44"/>
          <w:szCs w:val="44"/>
          <w:highlight w:val="none"/>
          <w:lang w:eastAsia="zh-CN"/>
        </w:rPr>
        <w:t>咨询服务补充采购需求资料</w:t>
      </w:r>
    </w:p>
    <w:p>
      <w:pPr>
        <w:pStyle w:val="12"/>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华文中宋" w:cs="Times New Roman"/>
          <w:color w:val="auto"/>
          <w:sz w:val="44"/>
          <w:szCs w:val="44"/>
          <w:highlight w:val="none"/>
          <w:lang w:eastAsia="zh-CN"/>
        </w:rPr>
      </w:pPr>
    </w:p>
    <w:p>
      <w:pPr>
        <w:pStyle w:val="12"/>
        <w:spacing w:line="420" w:lineRule="exact"/>
        <w:ind w:firstLine="448"/>
        <w:outlineLvl w:val="0"/>
        <w:rPr>
          <w:b/>
          <w:color w:val="auto"/>
          <w:highlight w:val="none"/>
        </w:rPr>
      </w:pPr>
      <w:r>
        <w:rPr>
          <w:rFonts w:hint="eastAsia"/>
          <w:b/>
          <w:bCs/>
          <w:color w:val="auto"/>
          <w:highlight w:val="none"/>
        </w:rPr>
        <w:t>一、</w:t>
      </w:r>
      <w:r>
        <w:rPr>
          <w:rFonts w:hint="eastAsia"/>
          <w:b/>
          <w:color w:val="auto"/>
          <w:highlight w:val="none"/>
        </w:rPr>
        <w:t>投标人资格：</w:t>
      </w:r>
    </w:p>
    <w:p>
      <w:pPr>
        <w:pStyle w:val="12"/>
        <w:spacing w:line="420" w:lineRule="exact"/>
        <w:ind w:firstLine="450"/>
        <w:rPr>
          <w:color w:val="auto"/>
          <w:szCs w:val="21"/>
          <w:highlight w:val="none"/>
        </w:rPr>
      </w:pPr>
      <w:r>
        <w:rPr>
          <w:rFonts w:hint="eastAsia"/>
          <w:color w:val="auto"/>
          <w:szCs w:val="21"/>
          <w:highlight w:val="none"/>
        </w:rPr>
        <w:t>投标人未被列入失信被执行人、重大税收违法案件当事人名单、政府采购严重违法失信行为记录名单，且符合《中华人民共和国政府采购法》第二十二条规定的资格条件。</w:t>
      </w:r>
    </w:p>
    <w:p>
      <w:pPr>
        <w:pStyle w:val="12"/>
        <w:spacing w:line="420" w:lineRule="exact"/>
        <w:ind w:firstLine="450"/>
        <w:rPr>
          <w:color w:val="auto"/>
          <w:szCs w:val="21"/>
          <w:highlight w:val="none"/>
        </w:rPr>
      </w:pPr>
      <w:r>
        <w:rPr>
          <w:rFonts w:hint="eastAsia"/>
          <w:color w:val="auto"/>
          <w:szCs w:val="21"/>
          <w:highlight w:val="none"/>
        </w:rPr>
        <w:t>1．具有国内法人资格，注册经营范围满足所投采购内容的投标人。</w:t>
      </w:r>
    </w:p>
    <w:p>
      <w:pPr>
        <w:pStyle w:val="12"/>
        <w:spacing w:line="420" w:lineRule="exact"/>
        <w:ind w:firstLine="450"/>
        <w:rPr>
          <w:bCs/>
          <w:color w:val="auto"/>
          <w:szCs w:val="21"/>
          <w:highlight w:val="none"/>
          <w:u w:val="single"/>
        </w:rPr>
      </w:pPr>
      <w:r>
        <w:rPr>
          <w:rFonts w:hint="eastAsia"/>
          <w:color w:val="auto"/>
          <w:szCs w:val="21"/>
          <w:highlight w:val="none"/>
        </w:rPr>
        <w:t>2．投标人资格的其他要求：</w:t>
      </w:r>
      <w:bookmarkStart w:id="0" w:name="OLE_LINK1"/>
      <w:r>
        <w:rPr>
          <w:rFonts w:hint="eastAsia" w:ascii="Times New Roman" w:hAnsi="Times New Roman"/>
          <w:color w:val="auto"/>
          <w:szCs w:val="21"/>
          <w:highlight w:val="none"/>
          <w:u w:val="single"/>
        </w:rPr>
        <w:t>投标人已通过全国投资项目在线审批监管平台备案（备案专业：电子、信息工程（含通信、广电、信息化）；工程咨询服务范围：项目咨询）</w:t>
      </w:r>
      <w:bookmarkEnd w:id="0"/>
      <w:r>
        <w:rPr>
          <w:rFonts w:hint="eastAsia" w:ascii="Times New Roman" w:hAnsi="Times New Roman"/>
          <w:color w:val="auto"/>
          <w:szCs w:val="21"/>
          <w:highlight w:val="none"/>
        </w:rPr>
        <w:t>以及</w:t>
      </w:r>
      <w:r>
        <w:rPr>
          <w:rFonts w:hint="eastAsia" w:ascii="Times New Roman" w:hAnsi="Times New Roman"/>
          <w:color w:val="auto"/>
          <w:szCs w:val="21"/>
          <w:highlight w:val="none"/>
          <w:u w:val="single"/>
        </w:rPr>
        <w:t>具有国家住房和城乡建设部颁发的《工程设计资质证书》电子通信广电行业（通信工程类）专业乙级及以上资质。</w:t>
      </w:r>
    </w:p>
    <w:p>
      <w:pPr>
        <w:pStyle w:val="12"/>
        <w:spacing w:line="420" w:lineRule="exact"/>
        <w:ind w:firstLine="448"/>
        <w:outlineLvl w:val="0"/>
        <w:rPr>
          <w:b/>
          <w:bCs/>
          <w:color w:val="auto"/>
          <w:highlight w:val="none"/>
        </w:rPr>
      </w:pPr>
      <w:r>
        <w:rPr>
          <w:rFonts w:hint="eastAsia"/>
          <w:b/>
          <w:bCs/>
          <w:color w:val="auto"/>
          <w:highlight w:val="none"/>
        </w:rPr>
        <w:t>二、采购项目内容：</w:t>
      </w:r>
    </w:p>
    <w:p>
      <w:pPr>
        <w:adjustRightInd w:val="0"/>
        <w:spacing w:line="420" w:lineRule="exact"/>
        <w:ind w:firstLine="420" w:firstLineChars="200"/>
        <w:rPr>
          <w:rFonts w:hint="eastAsia" w:ascii="宋体" w:hAnsi="宋体" w:eastAsia="宋体"/>
          <w:color w:val="auto"/>
          <w:highlight w:val="none"/>
          <w:lang w:eastAsia="zh-CN"/>
        </w:rPr>
      </w:pPr>
      <w:r>
        <w:rPr>
          <w:rFonts w:hint="eastAsia" w:ascii="宋体" w:hAnsi="宋体"/>
          <w:color w:val="auto"/>
          <w:highlight w:val="none"/>
        </w:rPr>
        <w:t>1. 项目名称：云上东博会系统建设项目立项、投资评审咨询服务补充采购</w:t>
      </w:r>
    </w:p>
    <w:p>
      <w:pPr>
        <w:adjustRightInd w:val="0"/>
        <w:spacing w:line="420" w:lineRule="exact"/>
        <w:ind w:firstLine="420" w:firstLineChars="200"/>
        <w:rPr>
          <w:rFonts w:hint="eastAsia" w:ascii="宋体" w:hAnsi="宋体"/>
          <w:color w:val="auto"/>
          <w:highlight w:val="none"/>
        </w:rPr>
      </w:pPr>
      <w:r>
        <w:rPr>
          <w:rFonts w:hint="eastAsia" w:ascii="宋体" w:hAnsi="宋体"/>
          <w:color w:val="auto"/>
          <w:highlight w:val="none"/>
        </w:rPr>
        <w:t>2．采购人地址：</w:t>
      </w:r>
      <w:r>
        <w:rPr>
          <w:rFonts w:hint="eastAsia" w:ascii="宋体" w:hAnsi="宋体"/>
          <w:color w:val="auto"/>
          <w:highlight w:val="none"/>
          <w:u w:val="single"/>
        </w:rPr>
        <w:t xml:space="preserve"> 广西南宁市民族大道106号南宁国际会展中心行政综合楼北302室</w:t>
      </w:r>
      <w:r>
        <w:rPr>
          <w:rFonts w:ascii="宋体" w:hAnsi="宋体"/>
          <w:color w:val="auto"/>
          <w:highlight w:val="none"/>
          <w:u w:val="single"/>
        </w:rPr>
        <w:t xml:space="preserve"> </w:t>
      </w:r>
      <w:r>
        <w:rPr>
          <w:rFonts w:ascii="宋体" w:hAnsi="宋体"/>
          <w:color w:val="auto"/>
          <w:highlight w:val="none"/>
        </w:rPr>
        <w:t xml:space="preserve"> </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val="0"/>
        <w:snapToGrid/>
        <w:spacing w:line="420" w:lineRule="exact"/>
        <w:ind w:firstLine="735" w:firstLineChars="350"/>
        <w:textAlignment w:val="auto"/>
        <w:rPr>
          <w:rFonts w:hint="eastAsia" w:ascii="宋体" w:hAnsi="宋体" w:eastAsia="宋体"/>
          <w:color w:val="auto"/>
          <w:highlight w:val="none"/>
          <w:u w:val="none"/>
          <w:lang w:eastAsia="zh-CN"/>
        </w:rPr>
      </w:pPr>
      <w:r>
        <w:rPr>
          <w:rFonts w:hint="eastAsia" w:ascii="宋体" w:hAnsi="宋体"/>
          <w:color w:val="auto"/>
          <w:highlight w:val="none"/>
        </w:rPr>
        <w:t>联系人：</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黄女士</w:t>
      </w:r>
      <w:r>
        <w:rPr>
          <w:rFonts w:ascii="宋体" w:hAnsi="宋体"/>
          <w:color w:val="auto"/>
          <w:highlight w:val="none"/>
          <w:u w:val="single"/>
        </w:rPr>
        <w:t xml:space="preserve"> </w:t>
      </w:r>
      <w:r>
        <w:rPr>
          <w:rFonts w:hint="eastAsia" w:ascii="宋体" w:hAnsi="宋体"/>
          <w:color w:val="auto"/>
          <w:highlight w:val="none"/>
        </w:rPr>
        <w:t>；电话：</w:t>
      </w:r>
      <w:r>
        <w:rPr>
          <w:rFonts w:hint="eastAsia" w:ascii="宋体" w:hAnsi="宋体"/>
          <w:color w:val="auto"/>
          <w:highlight w:val="none"/>
          <w:u w:val="single"/>
        </w:rPr>
        <w:t xml:space="preserve">  </w:t>
      </w:r>
      <w:r>
        <w:rPr>
          <w:rFonts w:hint="eastAsia"/>
          <w:color w:val="auto"/>
          <w:highlight w:val="none"/>
          <w:u w:val="single"/>
        </w:rPr>
        <w:t>0771—</w:t>
      </w:r>
      <w:r>
        <w:rPr>
          <w:rFonts w:hint="eastAsia"/>
          <w:color w:val="auto"/>
          <w:highlight w:val="none"/>
          <w:u w:val="single"/>
          <w:lang w:val="en-US" w:eastAsia="zh-CN"/>
        </w:rPr>
        <w:t>2021183</w:t>
      </w:r>
      <w:r>
        <w:rPr>
          <w:rFonts w:ascii="宋体" w:hAnsi="宋体"/>
          <w:color w:val="auto"/>
          <w:highlight w:val="none"/>
          <w:u w:val="single"/>
        </w:rPr>
        <w:t xml:space="preserve">   </w:t>
      </w:r>
      <w:r>
        <w:rPr>
          <w:rFonts w:hint="eastAsia" w:ascii="宋体" w:hAnsi="宋体"/>
          <w:color w:val="auto"/>
          <w:highlight w:val="none"/>
          <w:u w:val="none"/>
          <w:lang w:eastAsia="zh-CN"/>
        </w:rPr>
        <w:t>。</w:t>
      </w:r>
    </w:p>
    <w:p>
      <w:pPr>
        <w:adjustRightInd w:val="0"/>
        <w:spacing w:line="420" w:lineRule="exact"/>
        <w:ind w:firstLine="420" w:firstLineChars="200"/>
        <w:rPr>
          <w:rFonts w:hint="eastAsia" w:ascii="宋体" w:hAnsi="宋体" w:eastAsia="宋体"/>
          <w:color w:val="auto"/>
          <w:highlight w:val="none"/>
          <w:lang w:eastAsia="zh-CN"/>
        </w:rPr>
      </w:pPr>
      <w:r>
        <w:rPr>
          <w:rFonts w:hint="eastAsia" w:ascii="宋体" w:hAnsi="宋体"/>
          <w:color w:val="auto"/>
          <w:highlight w:val="none"/>
        </w:rPr>
        <w:t>3．采购预算价：</w:t>
      </w:r>
      <w:r>
        <w:rPr>
          <w:rFonts w:hint="eastAsia" w:ascii="宋体" w:hAnsi="宋体"/>
          <w:color w:val="auto"/>
          <w:highlight w:val="none"/>
          <w:lang w:val="en-US" w:eastAsia="zh-CN"/>
        </w:rPr>
        <w:t>人民币</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49.50</w:t>
      </w:r>
      <w:r>
        <w:rPr>
          <w:rFonts w:ascii="宋体" w:hAnsi="宋体"/>
          <w:color w:val="auto"/>
          <w:highlight w:val="none"/>
          <w:u w:val="single"/>
        </w:rPr>
        <w:t xml:space="preserve"> </w:t>
      </w:r>
      <w:r>
        <w:rPr>
          <w:rFonts w:hint="eastAsia" w:ascii="宋体" w:hAnsi="宋体"/>
          <w:color w:val="auto"/>
          <w:highlight w:val="none"/>
        </w:rPr>
        <w:t>万元</w:t>
      </w:r>
    </w:p>
    <w:p>
      <w:pPr>
        <w:adjustRightInd w:val="0"/>
        <w:spacing w:line="420" w:lineRule="exact"/>
        <w:ind w:firstLine="420" w:firstLineChars="200"/>
        <w:rPr>
          <w:rFonts w:ascii="宋体" w:hAnsi="宋体"/>
          <w:color w:val="auto"/>
          <w:highlight w:val="none"/>
          <w:u w:val="single"/>
        </w:rPr>
      </w:pPr>
      <w:r>
        <w:rPr>
          <w:rFonts w:hint="eastAsia" w:ascii="宋体" w:hAnsi="宋体"/>
          <w:color w:val="auto"/>
          <w:highlight w:val="none"/>
        </w:rPr>
        <w:t>4．为本项目或者其中分项目的前期工作提供设计、编制规范、进行管理等服务的投标人有：</w:t>
      </w:r>
      <w:r>
        <w:rPr>
          <w:rFonts w:hint="eastAsia" w:ascii="宋体" w:hAnsi="宋体"/>
          <w:color w:val="auto"/>
          <w:highlight w:val="none"/>
          <w:u w:val="single"/>
        </w:rPr>
        <w:t xml:space="preserve">  无 </w:t>
      </w:r>
    </w:p>
    <w:p>
      <w:pPr>
        <w:adjustRightInd w:val="0"/>
        <w:spacing w:line="420" w:lineRule="exact"/>
        <w:ind w:firstLine="420" w:firstLineChars="200"/>
        <w:rPr>
          <w:rFonts w:ascii="宋体" w:hAnsi="宋体"/>
          <w:color w:val="auto"/>
          <w:highlight w:val="none"/>
        </w:rPr>
      </w:pPr>
      <w:r>
        <w:rPr>
          <w:rFonts w:hint="eastAsia" w:ascii="宋体" w:hAnsi="宋体"/>
          <w:color w:val="auto"/>
          <w:highlight w:val="none"/>
        </w:rPr>
        <w:t xml:space="preserve">5．是否接受联合体投标：□是   </w:t>
      </w:r>
      <w:r>
        <w:rPr>
          <w:rFonts w:ascii="宋体" w:hAnsi="宋体"/>
          <w:color w:val="auto"/>
          <w:highlight w:val="none"/>
        </w:rPr>
        <w:sym w:font="Wingdings" w:char="00FE"/>
      </w:r>
      <w:r>
        <w:rPr>
          <w:rFonts w:hint="eastAsia" w:ascii="宋体" w:hAnsi="宋体"/>
          <w:color w:val="auto"/>
          <w:highlight w:val="none"/>
        </w:rPr>
        <w:t>否（请在选项上打√）</w:t>
      </w:r>
    </w:p>
    <w:p>
      <w:pPr>
        <w:adjustRightInd w:val="0"/>
        <w:spacing w:line="420" w:lineRule="exact"/>
        <w:ind w:firstLine="420" w:firstLineChars="200"/>
        <w:rPr>
          <w:rFonts w:ascii="宋体" w:hAnsi="宋体"/>
          <w:color w:val="auto"/>
          <w:highlight w:val="none"/>
        </w:rPr>
      </w:pPr>
      <w:r>
        <w:rPr>
          <w:rFonts w:hint="eastAsia" w:ascii="宋体" w:hAnsi="宋体"/>
          <w:color w:val="auto"/>
          <w:highlight w:val="none"/>
        </w:rPr>
        <w:t xml:space="preserve">6．合同签订是否接受合同专用章：□是   </w:t>
      </w:r>
      <w:r>
        <w:rPr>
          <w:rFonts w:ascii="宋体" w:hAnsi="宋体"/>
          <w:color w:val="auto"/>
          <w:highlight w:val="none"/>
        </w:rPr>
        <w:sym w:font="Wingdings" w:char="00FE"/>
      </w:r>
      <w:r>
        <w:rPr>
          <w:rFonts w:hint="eastAsia" w:ascii="宋体" w:hAnsi="宋体"/>
          <w:color w:val="auto"/>
          <w:highlight w:val="none"/>
        </w:rPr>
        <w:t>否（请在选项上打√）</w:t>
      </w:r>
    </w:p>
    <w:p>
      <w:pPr>
        <w:adjustRightInd w:val="0"/>
        <w:spacing w:line="420" w:lineRule="exact"/>
        <w:ind w:firstLine="420" w:firstLineChars="200"/>
        <w:rPr>
          <w:rFonts w:ascii="宋体" w:hAnsi="宋体"/>
          <w:color w:val="auto"/>
          <w:highlight w:val="none"/>
        </w:rPr>
      </w:pPr>
      <w:r>
        <w:rPr>
          <w:rFonts w:hint="eastAsia" w:ascii="宋体" w:hAnsi="宋体"/>
          <w:color w:val="auto"/>
          <w:highlight w:val="none"/>
        </w:rPr>
        <w:t>7</w:t>
      </w:r>
      <w:r>
        <w:rPr>
          <w:rFonts w:ascii="宋体" w:hAnsi="宋体"/>
          <w:color w:val="auto"/>
          <w:highlight w:val="none"/>
        </w:rPr>
        <w:t>．服务需求一览表：（不得指定服务的投标人）</w:t>
      </w:r>
    </w:p>
    <w:tbl>
      <w:tblPr>
        <w:tblStyle w:val="19"/>
        <w:tblW w:w="9144" w:type="dxa"/>
        <w:jc w:val="center"/>
        <w:tblLayout w:type="fixed"/>
        <w:tblCellMar>
          <w:top w:w="0" w:type="dxa"/>
          <w:left w:w="0" w:type="dxa"/>
          <w:bottom w:w="0" w:type="dxa"/>
          <w:right w:w="0" w:type="dxa"/>
        </w:tblCellMar>
      </w:tblPr>
      <w:tblGrid>
        <w:gridCol w:w="421"/>
        <w:gridCol w:w="991"/>
        <w:gridCol w:w="709"/>
        <w:gridCol w:w="7023"/>
      </w:tblGrid>
      <w:tr>
        <w:tblPrEx>
          <w:tblCellMar>
            <w:top w:w="0" w:type="dxa"/>
            <w:left w:w="0" w:type="dxa"/>
            <w:bottom w:w="0" w:type="dxa"/>
            <w:right w:w="0" w:type="dxa"/>
          </w:tblCellMar>
        </w:tblPrEx>
        <w:trPr>
          <w:trHeight w:val="610" w:hRule="atLeast"/>
          <w:jc w:val="center"/>
        </w:trPr>
        <w:tc>
          <w:tcPr>
            <w:tcW w:w="42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b/>
                <w:bCs/>
                <w:color w:val="auto"/>
                <w:szCs w:val="21"/>
                <w:highlight w:val="none"/>
              </w:rPr>
            </w:pPr>
            <w:r>
              <w:rPr>
                <w:rFonts w:hint="eastAsia" w:hAnsi="宋体"/>
                <w:b/>
                <w:bCs/>
                <w:color w:val="auto"/>
                <w:szCs w:val="21"/>
                <w:highlight w:val="none"/>
              </w:rPr>
              <w:t>序号</w:t>
            </w:r>
          </w:p>
        </w:tc>
        <w:tc>
          <w:tcPr>
            <w:tcW w:w="991" w:type="dxa"/>
            <w:tcBorders>
              <w:top w:val="single" w:color="auto" w:sz="4" w:space="0"/>
              <w:left w:val="nil"/>
              <w:bottom w:val="single" w:color="auto" w:sz="4" w:space="0"/>
              <w:right w:val="single" w:color="auto" w:sz="4" w:space="0"/>
            </w:tcBorders>
            <w:vAlign w:val="center"/>
          </w:tcPr>
          <w:p>
            <w:pPr>
              <w:spacing w:line="240" w:lineRule="exact"/>
              <w:jc w:val="center"/>
              <w:rPr>
                <w:rFonts w:hAnsi="宋体"/>
                <w:b/>
                <w:bCs/>
                <w:color w:val="auto"/>
                <w:szCs w:val="21"/>
                <w:highlight w:val="none"/>
              </w:rPr>
            </w:pPr>
            <w:r>
              <w:rPr>
                <w:rFonts w:hint="eastAsia" w:hAnsi="宋体"/>
                <w:b/>
                <w:bCs/>
                <w:color w:val="auto"/>
                <w:szCs w:val="21"/>
                <w:highlight w:val="none"/>
              </w:rPr>
              <w:t>服务名称</w:t>
            </w:r>
          </w:p>
        </w:tc>
        <w:tc>
          <w:tcPr>
            <w:tcW w:w="7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hAnsi="宋体"/>
                <w:b/>
                <w:bCs/>
                <w:color w:val="auto"/>
                <w:szCs w:val="21"/>
                <w:highlight w:val="none"/>
              </w:rPr>
            </w:pPr>
            <w:r>
              <w:rPr>
                <w:rFonts w:hint="eastAsia" w:hAnsi="宋体"/>
                <w:b/>
                <w:bCs/>
                <w:color w:val="auto"/>
                <w:szCs w:val="21"/>
                <w:highlight w:val="none"/>
              </w:rPr>
              <w:t>数量</w:t>
            </w:r>
          </w:p>
        </w:tc>
        <w:tc>
          <w:tcPr>
            <w:tcW w:w="702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20" w:lineRule="exact"/>
              <w:jc w:val="center"/>
              <w:rPr>
                <w:rFonts w:hAnsi="宋体"/>
                <w:b/>
                <w:bCs/>
                <w:color w:val="auto"/>
                <w:szCs w:val="21"/>
                <w:highlight w:val="none"/>
              </w:rPr>
            </w:pPr>
            <w:r>
              <w:rPr>
                <w:rFonts w:hint="eastAsia" w:hAnsi="宋体"/>
                <w:b/>
                <w:bCs/>
                <w:color w:val="auto"/>
                <w:szCs w:val="21"/>
                <w:highlight w:val="none"/>
              </w:rPr>
              <w:t>服务项目的具体内容和要求</w:t>
            </w:r>
          </w:p>
        </w:tc>
      </w:tr>
      <w:tr>
        <w:tblPrEx>
          <w:tblCellMar>
            <w:top w:w="0" w:type="dxa"/>
            <w:left w:w="0" w:type="dxa"/>
            <w:bottom w:w="0" w:type="dxa"/>
            <w:right w:w="0" w:type="dxa"/>
          </w:tblCellMar>
        </w:tblPrEx>
        <w:trPr>
          <w:trHeight w:val="577" w:hRule="atLeast"/>
          <w:jc w:val="center"/>
        </w:trPr>
        <w:tc>
          <w:tcPr>
            <w:tcW w:w="42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991"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hint="eastAsia" w:ascii="宋体" w:hAnsi="宋体" w:eastAsia="宋体"/>
                <w:color w:val="auto"/>
                <w:szCs w:val="21"/>
                <w:highlight w:val="none"/>
                <w:lang w:eastAsia="zh-CN"/>
              </w:rPr>
            </w:pPr>
            <w:r>
              <w:rPr>
                <w:rFonts w:hint="eastAsia" w:ascii="宋体" w:hAnsi="宋体"/>
                <w:color w:val="auto"/>
                <w:highlight w:val="none"/>
                <w:lang w:eastAsia="zh-CN"/>
              </w:rPr>
              <w:t>云上东博会系统建设项目立项、投资评审咨询服务补充采购</w:t>
            </w:r>
          </w:p>
        </w:tc>
        <w:tc>
          <w:tcPr>
            <w:tcW w:w="7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1项</w:t>
            </w:r>
          </w:p>
        </w:tc>
        <w:tc>
          <w:tcPr>
            <w:tcW w:w="702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numPr>
                <w:ilvl w:val="0"/>
                <w:numId w:val="3"/>
              </w:numPr>
              <w:spacing w:line="420" w:lineRule="exact"/>
              <w:ind w:firstLine="470" w:firstLineChars="223"/>
              <w:rPr>
                <w:rFonts w:hint="eastAsia" w:ascii="宋体" w:hAnsi="宋体"/>
                <w:b/>
                <w:bCs/>
                <w:color w:val="auto"/>
                <w:szCs w:val="21"/>
                <w:highlight w:val="none"/>
                <w:lang w:eastAsia="zh-CN"/>
              </w:rPr>
            </w:pPr>
            <w:r>
              <w:rPr>
                <w:rFonts w:hint="eastAsia" w:ascii="宋体" w:hAnsi="宋体"/>
                <w:b/>
                <w:bCs/>
                <w:color w:val="auto"/>
                <w:szCs w:val="21"/>
                <w:highlight w:val="none"/>
                <w:lang w:eastAsia="zh-CN"/>
              </w:rPr>
              <w:t>补充采购内容</w:t>
            </w:r>
          </w:p>
          <w:p>
            <w:pPr>
              <w:pStyle w:val="2"/>
              <w:numPr>
                <w:ilvl w:val="1"/>
                <w:numId w:val="0"/>
              </w:numPr>
              <w:ind w:firstLine="420" w:firstLineChars="200"/>
              <w:rPr>
                <w:rFonts w:hint="eastAsia" w:ascii="宋体" w:hAnsi="宋体" w:eastAsia="宋体" w:cs="Calibri"/>
                <w:b w:val="0"/>
                <w:bCs w:val="0"/>
                <w:color w:val="auto"/>
                <w:kern w:val="2"/>
                <w:sz w:val="21"/>
                <w:szCs w:val="21"/>
                <w:highlight w:val="none"/>
                <w:lang w:val="en-US" w:eastAsia="zh-CN" w:bidi="ar-SA"/>
              </w:rPr>
            </w:pPr>
            <w:r>
              <w:rPr>
                <w:rFonts w:hint="eastAsia" w:ascii="宋体" w:hAnsi="宋体" w:eastAsia="宋体" w:cs="Calibri"/>
                <w:b w:val="0"/>
                <w:bCs w:val="0"/>
                <w:color w:val="auto"/>
                <w:kern w:val="2"/>
                <w:sz w:val="21"/>
                <w:szCs w:val="21"/>
                <w:highlight w:val="none"/>
                <w:lang w:val="en-US" w:eastAsia="zh-CN" w:bidi="ar-SA"/>
              </w:rPr>
              <w:t>1.项目立项方式由“分期立项”变更为“整体立项”，即按“整体立项，分期实施”原则统筹项目建设，整体立项按5000万元的总投资规模编制立项报告，整体立项报告应包括2020年云上东博会系统建设项目部分内容。</w:t>
            </w:r>
          </w:p>
          <w:p>
            <w:pPr>
              <w:ind w:firstLine="420"/>
              <w:rPr>
                <w:rFonts w:hint="eastAsia" w:ascii="宋体" w:hAnsi="宋体" w:eastAsia="宋体" w:cs="Calibri"/>
                <w:b w:val="0"/>
                <w:bCs w:val="0"/>
                <w:color w:val="auto"/>
                <w:kern w:val="2"/>
                <w:sz w:val="21"/>
                <w:szCs w:val="21"/>
                <w:highlight w:val="none"/>
                <w:lang w:val="en-US" w:eastAsia="zh-CN" w:bidi="ar-SA"/>
              </w:rPr>
            </w:pPr>
            <w:r>
              <w:rPr>
                <w:rFonts w:hint="eastAsia" w:ascii="宋体" w:hAnsi="宋体" w:cs="Calibri"/>
                <w:b w:val="0"/>
                <w:bCs w:val="0"/>
                <w:color w:val="auto"/>
                <w:kern w:val="2"/>
                <w:sz w:val="21"/>
                <w:szCs w:val="21"/>
                <w:highlight w:val="none"/>
                <w:lang w:val="en-US" w:eastAsia="zh-CN" w:bidi="ar-SA"/>
              </w:rPr>
              <w:t>2</w:t>
            </w:r>
            <w:r>
              <w:rPr>
                <w:rFonts w:hint="eastAsia" w:ascii="宋体" w:hAnsi="宋体" w:eastAsia="宋体" w:cs="Calibri"/>
                <w:b w:val="0"/>
                <w:bCs w:val="0"/>
                <w:color w:val="auto"/>
                <w:kern w:val="2"/>
                <w:sz w:val="21"/>
                <w:szCs w:val="21"/>
                <w:highlight w:val="none"/>
                <w:lang w:val="en-US" w:eastAsia="zh-CN" w:bidi="ar-SA"/>
              </w:rPr>
              <w:t>.项目立项主要工作：包括编撰整体项目可行性研究报告（代项目建议书）和整体初步设计和投资概算报告、评估服务、报审服务等。</w:t>
            </w:r>
          </w:p>
          <w:p>
            <w:pPr>
              <w:ind w:firstLine="420"/>
              <w:rPr>
                <w:rFonts w:hint="eastAsia"/>
                <w:color w:val="auto"/>
                <w:highlight w:val="none"/>
                <w:lang w:val="en-US" w:eastAsia="zh-CN"/>
              </w:rPr>
            </w:pPr>
            <w:r>
              <w:rPr>
                <w:rFonts w:hint="eastAsia"/>
                <w:color w:val="auto"/>
                <w:highlight w:val="none"/>
                <w:lang w:val="en-US" w:eastAsia="zh-CN"/>
              </w:rPr>
              <w:t>3.协助开展辅助性工作，包括但不限于以下内容：协助开展系统等保预定级变更服务；广西数字政务一体化平台及广西项目投资在线审批监管平台注册及项目报备；协助开展与广西电子政务平台签订接入协议等。</w:t>
            </w:r>
          </w:p>
          <w:p>
            <w:pPr>
              <w:ind w:firstLine="420"/>
              <w:rPr>
                <w:rFonts w:hint="eastAsia"/>
                <w:color w:val="auto"/>
                <w:highlight w:val="none"/>
                <w:lang w:val="en-US" w:eastAsia="zh-CN"/>
              </w:rPr>
            </w:pPr>
            <w:r>
              <w:rPr>
                <w:rFonts w:hint="eastAsia"/>
                <w:color w:val="auto"/>
                <w:highlight w:val="none"/>
                <w:lang w:val="en-US" w:eastAsia="zh-CN"/>
              </w:rPr>
              <w:t>4.提供项目投资概算评审材料的制作和FPA功能点评估工作的培训。</w:t>
            </w:r>
          </w:p>
          <w:p>
            <w:pPr>
              <w:ind w:firstLine="420"/>
              <w:rPr>
                <w:rFonts w:hint="eastAsia"/>
                <w:color w:val="auto"/>
                <w:highlight w:val="none"/>
                <w:lang w:val="en-US" w:eastAsia="zh-CN"/>
              </w:rPr>
            </w:pPr>
            <w:r>
              <w:rPr>
                <w:rFonts w:hint="eastAsia"/>
                <w:color w:val="auto"/>
                <w:highlight w:val="none"/>
                <w:lang w:val="en-US" w:eastAsia="zh-CN"/>
              </w:rPr>
              <w:t>5.提供组织不少于两次专家顾问的专业评审服务。</w:t>
            </w:r>
          </w:p>
          <w:p>
            <w:pPr>
              <w:spacing w:line="420" w:lineRule="exact"/>
              <w:ind w:firstLine="470" w:firstLineChars="223"/>
              <w:rPr>
                <w:rFonts w:hint="eastAsia" w:ascii="宋体" w:hAnsi="宋体" w:eastAsia="宋体"/>
                <w:b/>
                <w:bCs/>
                <w:color w:val="auto"/>
                <w:szCs w:val="21"/>
                <w:highlight w:val="none"/>
                <w:lang w:eastAsia="zh-CN"/>
              </w:rPr>
            </w:pPr>
            <w:r>
              <w:rPr>
                <w:rFonts w:hint="eastAsia" w:ascii="宋体" w:hAnsi="宋体"/>
                <w:b/>
                <w:bCs/>
                <w:color w:val="auto"/>
                <w:szCs w:val="21"/>
                <w:highlight w:val="none"/>
                <w:lang w:eastAsia="zh-CN"/>
              </w:rPr>
              <w:t>二、具体要求如下</w:t>
            </w:r>
          </w:p>
          <w:p>
            <w:pPr>
              <w:spacing w:line="420" w:lineRule="exact"/>
              <w:ind w:firstLine="470" w:firstLineChars="223"/>
              <w:rPr>
                <w:rFonts w:ascii="宋体" w:hAnsi="宋体" w:cs="Calibri"/>
                <w:b/>
                <w:color w:val="auto"/>
                <w:szCs w:val="21"/>
                <w:highlight w:val="none"/>
              </w:rPr>
            </w:pPr>
            <w:r>
              <w:rPr>
                <w:rFonts w:hint="eastAsia" w:ascii="宋体" w:hAnsi="宋体" w:cs="Calibri"/>
                <w:b/>
                <w:color w:val="auto"/>
                <w:szCs w:val="21"/>
                <w:highlight w:val="none"/>
              </w:rPr>
              <w:t>★</w:t>
            </w:r>
            <w:r>
              <w:rPr>
                <w:rFonts w:hint="eastAsia" w:ascii="宋体" w:hAnsi="宋体" w:cs="Calibri"/>
                <w:b/>
                <w:color w:val="auto"/>
                <w:szCs w:val="21"/>
                <w:highlight w:val="none"/>
                <w:lang w:val="en-US" w:eastAsia="zh-CN"/>
              </w:rPr>
              <w:t>（一）</w:t>
            </w:r>
            <w:r>
              <w:rPr>
                <w:rFonts w:hint="eastAsia" w:ascii="宋体" w:hAnsi="宋体" w:cs="Calibri"/>
                <w:b/>
                <w:color w:val="auto"/>
                <w:szCs w:val="21"/>
                <w:highlight w:val="none"/>
              </w:rPr>
              <w:t>项目前期咨询设计服务内容及要求</w:t>
            </w:r>
          </w:p>
          <w:p>
            <w:pPr>
              <w:spacing w:line="420" w:lineRule="exact"/>
              <w:ind w:firstLine="420" w:firstLineChars="200"/>
              <w:rPr>
                <w:rFonts w:ascii="宋体" w:hAnsi="宋体" w:cs="Calibri"/>
                <w:color w:val="auto"/>
                <w:szCs w:val="21"/>
                <w:highlight w:val="none"/>
              </w:rPr>
            </w:pPr>
            <w:r>
              <w:rPr>
                <w:rFonts w:hint="eastAsia" w:ascii="宋体" w:hAnsi="宋体" w:cs="Calibri"/>
                <w:color w:val="auto"/>
                <w:szCs w:val="21"/>
                <w:highlight w:val="none"/>
              </w:rPr>
              <w:t>1.投标人在开展前期咨询设计工作过程中，应充分评估建设单位整体的信息化建设现状，为本项目的信息化和智能化建设提出具体的技术比选方案。咨询成果以满足建设单位的建设需求以及通过审批部门审批为交付标准，如项目不能通过审批部门审批，投标人承诺按审批部门的要求修改直至最终通过。</w:t>
            </w:r>
          </w:p>
          <w:p>
            <w:pPr>
              <w:spacing w:line="420" w:lineRule="exact"/>
              <w:ind w:firstLine="420" w:firstLineChars="200"/>
              <w:rPr>
                <w:rFonts w:ascii="宋体" w:hAnsi="宋体" w:cs="Calibri"/>
                <w:color w:val="auto"/>
                <w:szCs w:val="21"/>
                <w:highlight w:val="none"/>
              </w:rPr>
            </w:pPr>
            <w:r>
              <w:rPr>
                <w:rFonts w:hint="eastAsia" w:ascii="宋体" w:hAnsi="宋体" w:cs="Calibri"/>
                <w:color w:val="auto"/>
                <w:szCs w:val="21"/>
                <w:highlight w:val="none"/>
              </w:rPr>
              <w:t>2.根据采购人要求完成本次设计的调研和需求分析工作，充分收集当前建设单位项目建设现状等项目前期工作资料。通过分析国内先进省市云上博览会信息化建设发展的情况，深入分析和总结出项目背景，包括项目总体目标、建设任务、建设意义、必要性、经济效益和社会效益等。</w:t>
            </w:r>
          </w:p>
          <w:p>
            <w:pPr>
              <w:spacing w:line="420" w:lineRule="exact"/>
              <w:ind w:firstLine="420" w:firstLineChars="200"/>
              <w:rPr>
                <w:rFonts w:ascii="宋体" w:hAnsi="宋体" w:cs="Calibri"/>
                <w:color w:val="auto"/>
                <w:szCs w:val="21"/>
                <w:highlight w:val="none"/>
              </w:rPr>
            </w:pPr>
            <w:r>
              <w:rPr>
                <w:rFonts w:hint="eastAsia" w:ascii="宋体" w:hAnsi="宋体" w:cs="Calibri"/>
                <w:color w:val="auto"/>
                <w:szCs w:val="21"/>
                <w:highlight w:val="none"/>
              </w:rPr>
              <w:t>3.研究和明确项目的建设思路，包括建设依据、建设思路、建设原则、建设目标、建设规模、建设内容等。分析并提出项目建设方案、总体投资估算等建议。</w:t>
            </w:r>
          </w:p>
          <w:p>
            <w:pPr>
              <w:spacing w:line="420" w:lineRule="exact"/>
              <w:ind w:firstLine="420" w:firstLineChars="200"/>
              <w:rPr>
                <w:rFonts w:ascii="宋体" w:hAnsi="宋体" w:cs="Calibri"/>
                <w:color w:val="auto"/>
                <w:szCs w:val="21"/>
                <w:highlight w:val="none"/>
              </w:rPr>
            </w:pPr>
            <w:r>
              <w:rPr>
                <w:rFonts w:hint="eastAsia" w:ascii="宋体" w:hAnsi="宋体" w:cs="Calibri"/>
                <w:color w:val="auto"/>
                <w:szCs w:val="21"/>
                <w:highlight w:val="none"/>
              </w:rPr>
              <w:t>4.咨询设计服务内容包括</w:t>
            </w:r>
            <w:r>
              <w:rPr>
                <w:rFonts w:hint="eastAsia" w:ascii="宋体" w:hAnsi="宋体" w:cs="Calibri"/>
                <w:color w:val="auto"/>
                <w:szCs w:val="21"/>
                <w:highlight w:val="none"/>
                <w:lang w:val="en-US" w:eastAsia="zh-CN"/>
              </w:rPr>
              <w:t>“</w:t>
            </w:r>
            <w:r>
              <w:rPr>
                <w:rFonts w:hint="eastAsia" w:ascii="宋体" w:hAnsi="宋体" w:cs="Calibri"/>
                <w:color w:val="auto"/>
                <w:szCs w:val="21"/>
                <w:highlight w:val="none"/>
              </w:rPr>
              <w:t>1个大脑</w:t>
            </w:r>
            <w:r>
              <w:rPr>
                <w:rFonts w:hint="eastAsia" w:ascii="宋体" w:hAnsi="宋体" w:cs="Calibri"/>
                <w:color w:val="auto"/>
                <w:szCs w:val="21"/>
                <w:highlight w:val="none"/>
                <w:lang w:val="en-US" w:eastAsia="zh-CN"/>
              </w:rPr>
              <w:t>2</w:t>
            </w:r>
            <w:r>
              <w:rPr>
                <w:rFonts w:hint="eastAsia" w:ascii="宋体" w:hAnsi="宋体" w:cs="Calibri"/>
                <w:color w:val="auto"/>
                <w:szCs w:val="21"/>
                <w:highlight w:val="none"/>
                <w:lang w:eastAsia="zh-CN"/>
              </w:rPr>
              <w:t>中台</w:t>
            </w:r>
            <w:r>
              <w:rPr>
                <w:rFonts w:hint="eastAsia" w:ascii="宋体" w:hAnsi="宋体" w:cs="Calibri"/>
                <w:color w:val="auto"/>
                <w:szCs w:val="21"/>
                <w:highlight w:val="none"/>
              </w:rPr>
              <w:t>11个平台多个应用系统</w:t>
            </w:r>
            <w:r>
              <w:rPr>
                <w:rFonts w:hint="eastAsia" w:ascii="宋体" w:hAnsi="宋体" w:cs="Calibri"/>
                <w:color w:val="auto"/>
                <w:szCs w:val="21"/>
                <w:highlight w:val="none"/>
                <w:lang w:eastAsia="zh-CN"/>
              </w:rPr>
              <w:t>”，1个大脑为“东博大脑”；</w:t>
            </w:r>
            <w:r>
              <w:rPr>
                <w:rFonts w:hint="eastAsia" w:ascii="宋体" w:hAnsi="宋体" w:cs="Calibri"/>
                <w:color w:val="auto"/>
                <w:szCs w:val="21"/>
                <w:highlight w:val="none"/>
                <w:lang w:val="en-US" w:eastAsia="zh-CN"/>
              </w:rPr>
              <w:t>2中台为业务中台和数据中台；</w:t>
            </w:r>
            <w:r>
              <w:rPr>
                <w:rFonts w:hint="eastAsia" w:ascii="宋体" w:hAnsi="宋体" w:cs="Calibri"/>
                <w:color w:val="auto"/>
                <w:szCs w:val="21"/>
                <w:highlight w:val="none"/>
                <w:lang w:eastAsia="zh-CN"/>
              </w:rPr>
              <w:t>11个平台为数字展务平台、证件票务平台、数字会务平台、信息发布平台、智慧营销平台、智慧金融平台、智慧商贸平台、智慧决策平台、应急处置平台、生态开放平台、用户交互及访问平台；多个应用系统包括展会管理、展商/团管理、展位规划、票务管理、证件管理等</w:t>
            </w:r>
            <w:r>
              <w:rPr>
                <w:rFonts w:hint="eastAsia" w:ascii="宋体" w:hAnsi="宋体" w:cs="Calibri"/>
                <w:color w:val="auto"/>
                <w:szCs w:val="21"/>
                <w:highlight w:val="none"/>
              </w:rPr>
              <w:t>等内容。</w:t>
            </w:r>
          </w:p>
          <w:p>
            <w:pPr>
              <w:spacing w:line="420" w:lineRule="exact"/>
              <w:ind w:firstLine="420" w:firstLineChars="200"/>
              <w:rPr>
                <w:rFonts w:ascii="宋体" w:hAnsi="宋体" w:cs="Calibri"/>
                <w:color w:val="auto"/>
                <w:szCs w:val="21"/>
                <w:highlight w:val="none"/>
              </w:rPr>
            </w:pPr>
            <w:r>
              <w:rPr>
                <w:rFonts w:hint="eastAsia" w:ascii="宋体" w:hAnsi="宋体" w:cs="Calibri"/>
                <w:color w:val="auto"/>
                <w:szCs w:val="21"/>
                <w:highlight w:val="none"/>
              </w:rPr>
              <w:t>5.按照《关于印发国家政务信息化项目建设管理办法的通知》（国办发〔2019〕57号）和《关于印发广西政务信息化项目建设管理办法（试行)的通知》（桂政办发〔2021〕21 号)规定的文档格式和编制要求编制设计文件，并根据采购人的要求，不断完善相关内容。</w:t>
            </w:r>
          </w:p>
          <w:p>
            <w:pPr>
              <w:spacing w:line="420" w:lineRule="exact"/>
              <w:ind w:firstLine="420" w:firstLineChars="200"/>
              <w:rPr>
                <w:rFonts w:ascii="宋体" w:hAnsi="宋体" w:cs="Calibri"/>
                <w:color w:val="auto"/>
                <w:szCs w:val="21"/>
                <w:highlight w:val="none"/>
              </w:rPr>
            </w:pPr>
            <w:r>
              <w:rPr>
                <w:rFonts w:hint="eastAsia" w:ascii="宋体" w:hAnsi="宋体" w:cs="Calibri"/>
                <w:color w:val="auto"/>
                <w:szCs w:val="21"/>
                <w:highlight w:val="none"/>
              </w:rPr>
              <w:t>6.按照工业和信息化部关于《印发信息通信建设工程预算定额、工程费用定额及工程概算编制规程的通知》（工信部通信〔2016〕451号）、自治区住房城乡建设厅关于颁发2018年《广西壮族自治区工程建设其他费用定额》的通知（桂建标〔2018〕37号）规定的概算格式和编制要求编制投资概算书、设备清单、软件开发工作量表等，并根据采购人的要求，不断完善相关内容。</w:t>
            </w:r>
          </w:p>
          <w:p>
            <w:pPr>
              <w:spacing w:line="420" w:lineRule="exact"/>
              <w:ind w:firstLine="420" w:firstLineChars="200"/>
              <w:rPr>
                <w:rFonts w:ascii="宋体" w:hAnsi="宋体" w:cs="Calibri"/>
                <w:color w:val="auto"/>
                <w:szCs w:val="21"/>
                <w:highlight w:val="none"/>
              </w:rPr>
            </w:pPr>
            <w:r>
              <w:rPr>
                <w:rFonts w:hint="eastAsia" w:ascii="宋体" w:hAnsi="宋体" w:cs="Calibri"/>
                <w:color w:val="auto"/>
                <w:szCs w:val="21"/>
                <w:highlight w:val="none"/>
              </w:rPr>
              <w:t>7.按照国家相关信息化标准和归档规定的文档格式和内容要求编制设计方案，并根据采购人的要求，不断完善相关内容。</w:t>
            </w:r>
          </w:p>
          <w:p>
            <w:pPr>
              <w:spacing w:line="420" w:lineRule="exact"/>
              <w:ind w:firstLine="420" w:firstLineChars="200"/>
              <w:rPr>
                <w:rFonts w:ascii="宋体" w:hAnsi="宋体" w:cs="Calibri"/>
                <w:color w:val="auto"/>
                <w:szCs w:val="21"/>
                <w:highlight w:val="none"/>
              </w:rPr>
            </w:pPr>
            <w:r>
              <w:rPr>
                <w:rFonts w:hint="eastAsia" w:ascii="宋体" w:hAnsi="宋体" w:cs="Calibri"/>
                <w:color w:val="auto"/>
                <w:szCs w:val="21"/>
                <w:highlight w:val="none"/>
              </w:rPr>
              <w:t>8.根据审批后的项目初步设计方案，协助建设单位完成系统建设项目招标文件的编制。配合建设单位进行工程项目招标前的准备工作，如编制招标技术规范书、拟定设备清单等。</w:t>
            </w:r>
          </w:p>
          <w:p>
            <w:pPr>
              <w:spacing w:line="420" w:lineRule="exact"/>
              <w:ind w:firstLine="420" w:firstLineChars="200"/>
              <w:rPr>
                <w:rFonts w:ascii="宋体" w:hAnsi="宋体" w:cs="Calibri"/>
                <w:color w:val="auto"/>
                <w:szCs w:val="21"/>
                <w:highlight w:val="none"/>
              </w:rPr>
            </w:pPr>
            <w:r>
              <w:rPr>
                <w:rFonts w:hint="eastAsia" w:ascii="宋体" w:hAnsi="宋体" w:cs="Calibri"/>
                <w:color w:val="auto"/>
                <w:szCs w:val="21"/>
                <w:highlight w:val="none"/>
              </w:rPr>
              <w:t>9.配合建设单位组织项目的前期实施和技术交底；配合建设单位在项目建设期间或实施期间的工作，如系统技术指导等。</w:t>
            </w:r>
          </w:p>
          <w:p>
            <w:pPr>
              <w:spacing w:line="420" w:lineRule="exact"/>
              <w:ind w:firstLine="48" w:firstLineChars="23"/>
              <w:rPr>
                <w:rFonts w:ascii="宋体" w:hAnsi="宋体" w:cs="Calibri"/>
                <w:b/>
                <w:color w:val="auto"/>
                <w:szCs w:val="21"/>
                <w:highlight w:val="none"/>
              </w:rPr>
            </w:pPr>
            <w:r>
              <w:rPr>
                <w:rFonts w:hint="eastAsia" w:ascii="宋体" w:hAnsi="宋体" w:cs="Calibri"/>
                <w:b/>
                <w:color w:val="auto"/>
                <w:szCs w:val="21"/>
                <w:highlight w:val="none"/>
                <w:lang w:eastAsia="zh-CN"/>
              </w:rPr>
              <w:t>（二）</w:t>
            </w:r>
            <w:r>
              <w:rPr>
                <w:rFonts w:hint="eastAsia" w:ascii="宋体" w:hAnsi="宋体" w:cs="Calibri"/>
                <w:b/>
                <w:color w:val="auto"/>
                <w:szCs w:val="21"/>
                <w:highlight w:val="none"/>
              </w:rPr>
              <w:t>项目编制服务及技术要求（包括但不限于）</w:t>
            </w:r>
          </w:p>
          <w:p>
            <w:pPr>
              <w:spacing w:line="420" w:lineRule="exact"/>
              <w:ind w:firstLine="420" w:firstLineChars="200"/>
              <w:rPr>
                <w:rFonts w:ascii="宋体" w:hAnsi="宋体" w:cs="Calibri"/>
                <w:color w:val="auto"/>
                <w:szCs w:val="21"/>
                <w:highlight w:val="none"/>
              </w:rPr>
            </w:pPr>
            <w:r>
              <w:rPr>
                <w:rFonts w:hint="eastAsia" w:ascii="宋体" w:hAnsi="宋体" w:cs="Calibri"/>
                <w:color w:val="auto"/>
                <w:szCs w:val="21"/>
                <w:highlight w:val="none"/>
              </w:rPr>
              <w:t>（</w:t>
            </w:r>
            <w:r>
              <w:rPr>
                <w:rFonts w:hint="eastAsia" w:ascii="宋体" w:hAnsi="宋体" w:cs="Calibri"/>
                <w:color w:val="auto"/>
                <w:szCs w:val="21"/>
                <w:highlight w:val="none"/>
                <w:lang w:val="en-US" w:eastAsia="zh-CN"/>
              </w:rPr>
              <w:t>1</w:t>
            </w:r>
            <w:r>
              <w:rPr>
                <w:rFonts w:hint="eastAsia" w:ascii="宋体" w:hAnsi="宋体" w:cs="Calibri"/>
                <w:color w:val="auto"/>
                <w:szCs w:val="21"/>
                <w:highlight w:val="none"/>
              </w:rPr>
              <w:t>）总则</w:t>
            </w:r>
          </w:p>
          <w:p>
            <w:pPr>
              <w:spacing w:line="420" w:lineRule="exact"/>
              <w:ind w:firstLine="420" w:firstLineChars="200"/>
              <w:rPr>
                <w:rFonts w:ascii="宋体" w:hAnsi="宋体" w:cs="Calibri"/>
                <w:color w:val="auto"/>
                <w:szCs w:val="21"/>
                <w:highlight w:val="none"/>
              </w:rPr>
            </w:pPr>
            <w:r>
              <w:rPr>
                <w:rFonts w:hint="eastAsia" w:ascii="宋体" w:hAnsi="宋体" w:cs="Calibri"/>
                <w:color w:val="auto"/>
                <w:szCs w:val="21"/>
                <w:highlight w:val="none"/>
              </w:rPr>
              <w:t>1.按照国内外领先的方法论进行，包括顶层设计方法理论、信息资源规划理论（IRP）、UML 建模设计等方法论，在对建设单位信息化建设现状全面调研和梳理、评估的基础上，制定应用架构、技术架构、信息安全体系、运维体系等建设总体设计方案，为系统建设的实施提供科学化、规范化、可持续的方案指导，最终目的是做好项目设计，保证统一高效、资源整合、互联互通、信息共享目标的实现，以提升信息化建设的管理水平。</w:t>
            </w:r>
          </w:p>
          <w:p>
            <w:pPr>
              <w:spacing w:line="420" w:lineRule="exact"/>
              <w:ind w:firstLine="420" w:firstLineChars="200"/>
              <w:rPr>
                <w:rFonts w:ascii="宋体" w:hAnsi="宋体" w:cs="Calibri"/>
                <w:color w:val="auto"/>
                <w:szCs w:val="21"/>
                <w:highlight w:val="none"/>
              </w:rPr>
            </w:pPr>
            <w:r>
              <w:rPr>
                <w:rFonts w:hint="eastAsia" w:ascii="宋体" w:hAnsi="宋体" w:cs="Calibri"/>
                <w:color w:val="auto"/>
                <w:szCs w:val="21"/>
                <w:highlight w:val="none"/>
              </w:rPr>
              <w:t>2.项目设计和咨询分析应符合国家相关标准规范及国家电子政务建设的要求，结合项目建设实际需求，从架构规划、功能需求、系统性能、系统配置等方面对项目进行规划设计。同时，要求项目建设方案科学，易于扩展，符合信息技术与管理的发展方向。</w:t>
            </w:r>
          </w:p>
          <w:p>
            <w:pPr>
              <w:spacing w:line="420" w:lineRule="exact"/>
              <w:ind w:firstLine="420" w:firstLineChars="200"/>
              <w:rPr>
                <w:rFonts w:ascii="宋体" w:hAnsi="宋体" w:cs="Calibri"/>
                <w:color w:val="auto"/>
                <w:szCs w:val="21"/>
                <w:highlight w:val="none"/>
              </w:rPr>
            </w:pPr>
            <w:r>
              <w:rPr>
                <w:rFonts w:hint="eastAsia" w:ascii="宋体" w:hAnsi="宋体" w:cs="Calibri"/>
                <w:color w:val="auto"/>
                <w:szCs w:val="21"/>
                <w:highlight w:val="none"/>
              </w:rPr>
              <w:t>3.根据国家相关设计标准规范要求进行系统设计，描述系统的构成、分级与组成，设计系统的配置，对系统性能指标和测试要求等进行说明。</w:t>
            </w:r>
          </w:p>
          <w:p>
            <w:pPr>
              <w:spacing w:line="420" w:lineRule="exact"/>
              <w:ind w:firstLine="420" w:firstLineChars="200"/>
              <w:rPr>
                <w:rFonts w:ascii="宋体" w:hAnsi="宋体" w:cs="Calibri"/>
                <w:color w:val="auto"/>
                <w:szCs w:val="21"/>
                <w:highlight w:val="none"/>
              </w:rPr>
            </w:pPr>
            <w:r>
              <w:rPr>
                <w:rFonts w:hint="eastAsia" w:ascii="宋体" w:hAnsi="宋体" w:cs="Calibri"/>
                <w:color w:val="auto"/>
                <w:szCs w:val="21"/>
                <w:highlight w:val="none"/>
              </w:rPr>
              <w:t>4.根据项目的建设内容，明确提出软硬件设备配置原则和系统软硬件配置设备清单，包括：设备及软件性能指标及参数、数量；提出国产化和自主品牌软硬件配置清单比例；分别列出各应用系统开发工作量测算表。</w:t>
            </w:r>
          </w:p>
          <w:p>
            <w:pPr>
              <w:spacing w:line="420" w:lineRule="exact"/>
              <w:ind w:firstLine="420" w:firstLineChars="200"/>
              <w:rPr>
                <w:rFonts w:ascii="宋体" w:hAnsi="宋体" w:cs="Calibri"/>
                <w:color w:val="auto"/>
                <w:szCs w:val="21"/>
                <w:highlight w:val="none"/>
              </w:rPr>
            </w:pPr>
            <w:r>
              <w:rPr>
                <w:rFonts w:ascii="宋体" w:hAnsi="宋体" w:cs="Calibri"/>
                <w:color w:val="auto"/>
                <w:szCs w:val="21"/>
                <w:highlight w:val="none"/>
              </w:rPr>
              <w:t>5.</w:t>
            </w:r>
            <w:r>
              <w:rPr>
                <w:rFonts w:hint="eastAsia" w:ascii="宋体" w:hAnsi="宋体" w:cs="Calibri"/>
                <w:color w:val="auto"/>
                <w:szCs w:val="21"/>
                <w:highlight w:val="none"/>
              </w:rPr>
              <w:t>本设计要求提供的是最低限度的技术要求，并未对一切技术细节做出规定，也未充分引述有关标准和规范的条文，中标人应遵循可靠、先进、经济、实用、保密、环保、节能及可持续发展的原则，围绕项目建设单位的信息化建设统一规划，方案必须具有前瞻性和科学性，保证提供符合本设计的优质服务。</w:t>
            </w:r>
          </w:p>
          <w:p>
            <w:pPr>
              <w:spacing w:line="420" w:lineRule="exact"/>
              <w:ind w:firstLine="420" w:firstLineChars="200"/>
              <w:rPr>
                <w:rFonts w:ascii="宋体" w:hAnsi="宋体" w:cs="Calibri"/>
                <w:color w:val="auto"/>
                <w:szCs w:val="21"/>
                <w:highlight w:val="none"/>
              </w:rPr>
            </w:pPr>
            <w:r>
              <w:rPr>
                <w:rFonts w:ascii="宋体" w:hAnsi="宋体" w:cs="Calibri"/>
                <w:color w:val="auto"/>
                <w:szCs w:val="21"/>
                <w:highlight w:val="none"/>
              </w:rPr>
              <w:t>6.</w:t>
            </w:r>
            <w:r>
              <w:rPr>
                <w:rFonts w:hint="eastAsia" w:ascii="宋体" w:hAnsi="宋体" w:cs="Calibri"/>
                <w:color w:val="auto"/>
                <w:szCs w:val="21"/>
                <w:highlight w:val="none"/>
              </w:rPr>
              <w:t>中标人运用的标准、规范和控制过程的程序应满足现行最新版本的国家标准和行业标准；如果遇到规范之间的相互冲突，除非采购人明确指定，否则按照更严格的标准执行。</w:t>
            </w:r>
          </w:p>
          <w:p>
            <w:pPr>
              <w:spacing w:line="420" w:lineRule="exact"/>
              <w:ind w:firstLine="420" w:firstLineChars="200"/>
              <w:rPr>
                <w:rFonts w:ascii="宋体" w:hAnsi="宋体" w:cs="Calibri"/>
                <w:color w:val="auto"/>
                <w:szCs w:val="21"/>
                <w:highlight w:val="none"/>
              </w:rPr>
            </w:pPr>
            <w:r>
              <w:rPr>
                <w:rFonts w:ascii="宋体" w:hAnsi="宋体" w:cs="Calibri"/>
                <w:color w:val="auto"/>
                <w:szCs w:val="21"/>
                <w:highlight w:val="none"/>
              </w:rPr>
              <w:t>7.</w:t>
            </w:r>
            <w:r>
              <w:rPr>
                <w:rFonts w:hint="eastAsia" w:ascii="宋体" w:hAnsi="宋体" w:cs="Calibri"/>
                <w:color w:val="auto"/>
                <w:szCs w:val="21"/>
                <w:highlight w:val="none"/>
              </w:rPr>
              <w:t>招标人保留在签订合同前对本设计要求具有补充和修改的权利，中标人应认可及配合，如提出修改，具体事项由中标人与招标人另行商定。</w:t>
            </w:r>
          </w:p>
          <w:p>
            <w:pPr>
              <w:spacing w:line="420" w:lineRule="exact"/>
              <w:ind w:firstLine="420" w:firstLineChars="200"/>
              <w:rPr>
                <w:rFonts w:ascii="宋体" w:hAnsi="宋体" w:cs="Calibri"/>
                <w:color w:val="auto"/>
                <w:szCs w:val="21"/>
                <w:highlight w:val="none"/>
              </w:rPr>
            </w:pPr>
            <w:r>
              <w:rPr>
                <w:rFonts w:ascii="宋体" w:hAnsi="宋体" w:cs="Calibri"/>
                <w:color w:val="auto"/>
                <w:szCs w:val="21"/>
                <w:highlight w:val="none"/>
              </w:rPr>
              <w:t>8.</w:t>
            </w:r>
            <w:r>
              <w:rPr>
                <w:rFonts w:hint="eastAsia" w:ascii="宋体" w:hAnsi="宋体" w:cs="Calibri"/>
                <w:color w:val="auto"/>
                <w:szCs w:val="21"/>
                <w:highlight w:val="none"/>
              </w:rPr>
              <w:t>合同签署后，招标人有权利按照合同、有关附件规定的条件和项目审批主管部门的要求，在建设的范围内，随时调整工作内容和工作范围。</w:t>
            </w:r>
          </w:p>
          <w:p>
            <w:pPr>
              <w:spacing w:line="420" w:lineRule="exact"/>
              <w:ind w:firstLine="420" w:firstLineChars="200"/>
              <w:rPr>
                <w:rFonts w:ascii="宋体" w:hAnsi="宋体" w:cs="Calibri"/>
                <w:color w:val="auto"/>
                <w:szCs w:val="21"/>
                <w:highlight w:val="none"/>
              </w:rPr>
            </w:pPr>
            <w:r>
              <w:rPr>
                <w:rFonts w:ascii="宋体" w:hAnsi="宋体" w:cs="Calibri"/>
                <w:color w:val="auto"/>
                <w:szCs w:val="21"/>
                <w:highlight w:val="none"/>
              </w:rPr>
              <w:t>9.</w:t>
            </w:r>
            <w:r>
              <w:rPr>
                <w:rFonts w:hint="eastAsia" w:ascii="宋体" w:hAnsi="宋体" w:cs="Calibri"/>
                <w:color w:val="auto"/>
                <w:szCs w:val="21"/>
                <w:highlight w:val="none"/>
              </w:rPr>
              <w:t>除本采购文件要求外，采购人还将为中标人提供本项目的前期相关技术资料。采购人向中标人提供的与本招标活动有关的所有资料，中标人有义务为采购人保守机密，并签订保密承诺。同时，必须严格做好与本项目有关资料的保密工作，保密资料包括（但不限于）建设数据、设计需求、功能规划、招标设备配置清单等，均不得泄露给第三方。</w:t>
            </w:r>
          </w:p>
          <w:p>
            <w:pPr>
              <w:spacing w:line="420" w:lineRule="exact"/>
              <w:ind w:firstLine="420" w:firstLineChars="200"/>
              <w:rPr>
                <w:rFonts w:ascii="宋体" w:hAnsi="宋体" w:cs="Calibri"/>
                <w:color w:val="auto"/>
                <w:szCs w:val="21"/>
                <w:highlight w:val="none"/>
              </w:rPr>
            </w:pPr>
            <w:r>
              <w:rPr>
                <w:rFonts w:ascii="宋体" w:hAnsi="宋体" w:cs="Calibri"/>
                <w:color w:val="auto"/>
                <w:szCs w:val="21"/>
                <w:highlight w:val="none"/>
              </w:rPr>
              <w:t>10.</w:t>
            </w:r>
            <w:r>
              <w:rPr>
                <w:rFonts w:hint="eastAsia" w:ascii="宋体" w:hAnsi="宋体" w:cs="Calibri"/>
                <w:color w:val="auto"/>
                <w:szCs w:val="21"/>
                <w:highlight w:val="none"/>
              </w:rPr>
              <w:t>中标人应对所编制内容提供后续的技术监督和指导。</w:t>
            </w:r>
          </w:p>
          <w:p>
            <w:pPr>
              <w:spacing w:line="420" w:lineRule="exact"/>
              <w:ind w:firstLine="48" w:firstLineChars="23"/>
              <w:rPr>
                <w:rFonts w:ascii="宋体" w:hAnsi="宋体" w:cs="Calibri"/>
                <w:color w:val="auto"/>
                <w:szCs w:val="21"/>
                <w:highlight w:val="none"/>
              </w:rPr>
            </w:pPr>
            <w:r>
              <w:rPr>
                <w:rFonts w:hint="eastAsia" w:ascii="宋体" w:hAnsi="宋体" w:cs="Calibri"/>
                <w:color w:val="auto"/>
                <w:szCs w:val="21"/>
                <w:highlight w:val="none"/>
              </w:rPr>
              <w:t>（</w:t>
            </w:r>
            <w:r>
              <w:rPr>
                <w:rFonts w:hint="eastAsia" w:ascii="宋体" w:hAnsi="宋体" w:cs="Calibri"/>
                <w:color w:val="auto"/>
                <w:szCs w:val="21"/>
                <w:highlight w:val="none"/>
                <w:lang w:val="en-US" w:eastAsia="zh-CN"/>
              </w:rPr>
              <w:t>2</w:t>
            </w:r>
            <w:r>
              <w:rPr>
                <w:rFonts w:hint="eastAsia" w:ascii="宋体" w:hAnsi="宋体" w:cs="Calibri"/>
                <w:color w:val="auto"/>
                <w:szCs w:val="21"/>
                <w:highlight w:val="none"/>
              </w:rPr>
              <w:t>）项目咨询设计及编制要求（包括但不限于）</w:t>
            </w:r>
          </w:p>
          <w:p>
            <w:pPr>
              <w:spacing w:line="420" w:lineRule="exact"/>
              <w:ind w:firstLine="420" w:firstLineChars="200"/>
              <w:rPr>
                <w:rFonts w:ascii="宋体" w:hAnsi="宋体" w:cs="Calibri"/>
                <w:color w:val="auto"/>
                <w:szCs w:val="21"/>
                <w:highlight w:val="none"/>
              </w:rPr>
            </w:pPr>
            <w:r>
              <w:rPr>
                <w:rFonts w:ascii="宋体" w:hAnsi="宋体" w:cs="Calibri"/>
                <w:color w:val="auto"/>
                <w:szCs w:val="21"/>
                <w:highlight w:val="none"/>
              </w:rPr>
              <w:t>1.</w:t>
            </w:r>
            <w:r>
              <w:rPr>
                <w:rFonts w:hint="eastAsia" w:ascii="宋体" w:hAnsi="宋体" w:cs="Calibri"/>
                <w:color w:val="auto"/>
                <w:szCs w:val="21"/>
                <w:highlight w:val="none"/>
              </w:rPr>
              <w:t>本项目建设成果应可作为后期具体子项目建设实施和招标的重要依据和指导文件，设计方案要求内容全面、合理可行。</w:t>
            </w:r>
          </w:p>
          <w:p>
            <w:pPr>
              <w:spacing w:line="420" w:lineRule="exact"/>
              <w:ind w:firstLine="420" w:firstLineChars="200"/>
              <w:rPr>
                <w:rFonts w:ascii="宋体" w:hAnsi="宋体" w:cs="Calibri"/>
                <w:color w:val="auto"/>
                <w:szCs w:val="21"/>
                <w:highlight w:val="none"/>
              </w:rPr>
            </w:pPr>
            <w:r>
              <w:rPr>
                <w:rFonts w:ascii="宋体" w:hAnsi="宋体" w:cs="Calibri"/>
                <w:color w:val="auto"/>
                <w:szCs w:val="21"/>
                <w:highlight w:val="none"/>
              </w:rPr>
              <w:t>2</w:t>
            </w:r>
            <w:r>
              <w:rPr>
                <w:rFonts w:hint="eastAsia" w:ascii="宋体" w:hAnsi="宋体" w:cs="Calibri"/>
                <w:color w:val="auto"/>
                <w:szCs w:val="21"/>
                <w:highlight w:val="none"/>
              </w:rPr>
              <w:t>.在开展设计过程中，应充分了解采购人信息化现状，基于科学的方法论对项目涉及的应用建设需求进行收集，详细掌握当前国家和自治区的要求，做好本项目设计。</w:t>
            </w:r>
          </w:p>
          <w:p>
            <w:pPr>
              <w:spacing w:line="420" w:lineRule="exact"/>
              <w:ind w:firstLine="420" w:firstLineChars="200"/>
              <w:rPr>
                <w:rFonts w:ascii="宋体" w:hAnsi="宋体" w:cs="Calibri"/>
                <w:color w:val="auto"/>
                <w:szCs w:val="21"/>
                <w:highlight w:val="none"/>
              </w:rPr>
            </w:pPr>
            <w:r>
              <w:rPr>
                <w:rFonts w:ascii="宋体" w:hAnsi="宋体" w:cs="Calibri"/>
                <w:color w:val="auto"/>
                <w:szCs w:val="21"/>
                <w:highlight w:val="none"/>
              </w:rPr>
              <w:t>3</w:t>
            </w:r>
            <w:r>
              <w:rPr>
                <w:rFonts w:hint="eastAsia" w:ascii="宋体" w:hAnsi="宋体" w:cs="Calibri"/>
                <w:color w:val="auto"/>
                <w:szCs w:val="21"/>
                <w:highlight w:val="none"/>
              </w:rPr>
              <w:t>.基于科学的方法论对项目涉及规划建设相关业务进行业务需求的收集、梳理及规整，理清业务、流程、边界和范围，详细掌握业务、数据、技术和系统现状，做好业务架构设计，要求业务颗粒度适中。既保证业务方案的深度，又要防止过细带来的实施成本问题。</w:t>
            </w:r>
          </w:p>
          <w:p>
            <w:pPr>
              <w:spacing w:line="420" w:lineRule="exact"/>
              <w:ind w:firstLine="420" w:firstLineChars="200"/>
              <w:rPr>
                <w:rFonts w:ascii="宋体" w:hAnsi="宋体" w:cs="Calibri"/>
                <w:color w:val="auto"/>
                <w:szCs w:val="21"/>
                <w:highlight w:val="none"/>
              </w:rPr>
            </w:pPr>
            <w:r>
              <w:rPr>
                <w:rFonts w:ascii="宋体" w:hAnsi="宋体" w:cs="Calibri"/>
                <w:color w:val="auto"/>
                <w:szCs w:val="21"/>
                <w:highlight w:val="none"/>
              </w:rPr>
              <w:t>4.</w:t>
            </w:r>
            <w:r>
              <w:rPr>
                <w:rFonts w:hint="eastAsia" w:ascii="宋体" w:hAnsi="宋体" w:cs="Calibri"/>
                <w:color w:val="auto"/>
                <w:szCs w:val="21"/>
                <w:highlight w:val="none"/>
              </w:rPr>
              <w:t>设计整体技术架构，充分利用项目现有基础设施资源，根据项目建设实际需求规划服务器、存储、网络以及安全保障资源。</w:t>
            </w:r>
          </w:p>
          <w:p>
            <w:pPr>
              <w:spacing w:line="420" w:lineRule="exact"/>
              <w:ind w:firstLine="420" w:firstLineChars="200"/>
              <w:rPr>
                <w:rFonts w:ascii="宋体" w:hAnsi="宋体" w:cs="Calibri"/>
                <w:color w:val="auto"/>
                <w:szCs w:val="21"/>
                <w:highlight w:val="none"/>
              </w:rPr>
            </w:pPr>
            <w:r>
              <w:rPr>
                <w:rFonts w:ascii="宋体" w:hAnsi="宋体" w:cs="Calibri"/>
                <w:color w:val="auto"/>
                <w:szCs w:val="21"/>
                <w:highlight w:val="none"/>
              </w:rPr>
              <w:t>5</w:t>
            </w:r>
            <w:r>
              <w:rPr>
                <w:rFonts w:hint="eastAsia" w:ascii="宋体" w:hAnsi="宋体" w:cs="Calibri"/>
                <w:color w:val="auto"/>
                <w:szCs w:val="21"/>
                <w:highlight w:val="none"/>
              </w:rPr>
              <w:t>．结合现有的安全信任体系，对数据传输、管理、发布、使用等不同环节，设计由外到内、由局部到全面、多层次的、纵深的、有效地部署和配置全面安全解决方案，以达到最佳的安全互补状态，保证系统受到可靠、安全的保护。同时，对现有软硬件设备资源和信息安全整体环境进行全面检查评估，提出针对当前的运行状态所需要采取的相应对策。制定详细的安全防护方案。</w:t>
            </w:r>
          </w:p>
          <w:p>
            <w:pPr>
              <w:spacing w:line="420" w:lineRule="exact"/>
              <w:ind w:firstLine="420" w:firstLineChars="200"/>
              <w:rPr>
                <w:rFonts w:ascii="宋体" w:hAnsi="宋体" w:cs="Calibri"/>
                <w:color w:val="auto"/>
                <w:szCs w:val="21"/>
                <w:highlight w:val="none"/>
              </w:rPr>
            </w:pPr>
            <w:r>
              <w:rPr>
                <w:rFonts w:ascii="宋体" w:hAnsi="宋体" w:cs="Calibri"/>
                <w:color w:val="auto"/>
                <w:szCs w:val="21"/>
                <w:highlight w:val="none"/>
              </w:rPr>
              <w:t>6</w:t>
            </w:r>
            <w:r>
              <w:rPr>
                <w:rFonts w:hint="eastAsia" w:ascii="宋体" w:hAnsi="宋体" w:cs="Calibri"/>
                <w:color w:val="auto"/>
                <w:szCs w:val="21"/>
                <w:highlight w:val="none"/>
              </w:rPr>
              <w:t>.从数据、技术和业务出发，制定系统建设标准规范，制定相关数据、技术和业务标准，为资源共享提供标准规范体系支撑。</w:t>
            </w:r>
          </w:p>
          <w:p>
            <w:pPr>
              <w:spacing w:line="420" w:lineRule="exact"/>
              <w:ind w:firstLine="420" w:firstLineChars="200"/>
              <w:rPr>
                <w:rFonts w:ascii="宋体" w:hAnsi="宋体" w:cs="Calibri"/>
                <w:color w:val="auto"/>
                <w:szCs w:val="21"/>
                <w:highlight w:val="none"/>
              </w:rPr>
            </w:pPr>
            <w:r>
              <w:rPr>
                <w:rFonts w:ascii="宋体" w:hAnsi="宋体" w:cs="Calibri"/>
                <w:color w:val="auto"/>
                <w:szCs w:val="21"/>
                <w:highlight w:val="none"/>
              </w:rPr>
              <w:t>7</w:t>
            </w:r>
            <w:r>
              <w:rPr>
                <w:rFonts w:hint="eastAsia" w:ascii="宋体" w:hAnsi="宋体" w:cs="Calibri"/>
                <w:color w:val="auto"/>
                <w:szCs w:val="21"/>
                <w:highlight w:val="none"/>
              </w:rPr>
              <w:t>．要支持和协助用户确定业务发展的近期、中期和长期需求，在现有信息化的基础上，提出切实可行的建设的具体目标和任务，并制定实施策略。</w:t>
            </w:r>
          </w:p>
          <w:p>
            <w:pPr>
              <w:spacing w:line="420" w:lineRule="exact"/>
              <w:ind w:firstLine="420" w:firstLineChars="200"/>
              <w:rPr>
                <w:rFonts w:ascii="宋体" w:hAnsi="宋体" w:cs="Calibri"/>
                <w:color w:val="auto"/>
                <w:szCs w:val="21"/>
                <w:highlight w:val="none"/>
              </w:rPr>
            </w:pPr>
            <w:r>
              <w:rPr>
                <w:rFonts w:ascii="宋体" w:hAnsi="宋体" w:cs="Calibri"/>
                <w:color w:val="auto"/>
                <w:szCs w:val="21"/>
                <w:highlight w:val="none"/>
              </w:rPr>
              <w:t>8</w:t>
            </w:r>
            <w:r>
              <w:rPr>
                <w:rFonts w:hint="eastAsia" w:ascii="宋体" w:hAnsi="宋体" w:cs="Calibri"/>
                <w:color w:val="auto"/>
                <w:szCs w:val="21"/>
                <w:highlight w:val="none"/>
              </w:rPr>
              <w:t>.总体设计的有关技术方案应至少符合国家大型电子政务信息系统概要设计要求。</w:t>
            </w:r>
          </w:p>
          <w:p>
            <w:pPr>
              <w:spacing w:line="420" w:lineRule="exact"/>
              <w:ind w:firstLine="420" w:firstLineChars="200"/>
              <w:rPr>
                <w:rFonts w:ascii="宋体" w:hAnsi="宋体" w:cs="Calibri"/>
                <w:color w:val="auto"/>
                <w:szCs w:val="21"/>
                <w:highlight w:val="none"/>
              </w:rPr>
            </w:pPr>
            <w:r>
              <w:rPr>
                <w:rFonts w:ascii="宋体" w:hAnsi="宋体" w:cs="Calibri"/>
                <w:color w:val="auto"/>
                <w:szCs w:val="21"/>
                <w:highlight w:val="none"/>
              </w:rPr>
              <w:t>9</w:t>
            </w:r>
            <w:r>
              <w:rPr>
                <w:rFonts w:hint="eastAsia" w:ascii="宋体" w:hAnsi="宋体" w:cs="Calibri"/>
                <w:color w:val="auto"/>
                <w:szCs w:val="21"/>
                <w:highlight w:val="none"/>
              </w:rPr>
              <w:t>.总体设计应符合国家及自治区有关要求。同时，设计中引用、套用国家相关专业的设计规范、标准及新的相关专业的技术标准和要求时，应准确引用和套用。</w:t>
            </w:r>
          </w:p>
          <w:p>
            <w:pPr>
              <w:spacing w:line="420" w:lineRule="exact"/>
              <w:ind w:firstLine="420" w:firstLineChars="200"/>
              <w:rPr>
                <w:rFonts w:ascii="宋体" w:hAnsi="宋体" w:cs="Calibri"/>
                <w:color w:val="auto"/>
                <w:szCs w:val="21"/>
                <w:highlight w:val="none"/>
              </w:rPr>
            </w:pPr>
            <w:r>
              <w:rPr>
                <w:rFonts w:ascii="宋体" w:hAnsi="宋体" w:cs="Calibri"/>
                <w:color w:val="auto"/>
                <w:szCs w:val="21"/>
                <w:highlight w:val="none"/>
              </w:rPr>
              <w:t>10</w:t>
            </w:r>
            <w:r>
              <w:rPr>
                <w:rFonts w:hint="eastAsia" w:ascii="宋体" w:hAnsi="宋体" w:cs="Calibri"/>
                <w:color w:val="auto"/>
                <w:szCs w:val="21"/>
                <w:highlight w:val="none"/>
              </w:rPr>
              <w:t>.设计采用新技术、新设备、新材料应说明其技术性能指标和相关要求。同时，应符合系统开放性、可维护性、支持快速迭代和演化、支持大负载响应的设计要求。</w:t>
            </w:r>
          </w:p>
          <w:p>
            <w:pPr>
              <w:spacing w:line="420" w:lineRule="exact"/>
              <w:ind w:firstLine="420" w:firstLineChars="200"/>
              <w:rPr>
                <w:rFonts w:ascii="宋体" w:hAnsi="宋体" w:cs="Calibri"/>
                <w:color w:val="auto"/>
                <w:szCs w:val="21"/>
                <w:highlight w:val="none"/>
              </w:rPr>
            </w:pPr>
            <w:r>
              <w:rPr>
                <w:rFonts w:ascii="宋体" w:hAnsi="宋体" w:cs="Calibri"/>
                <w:color w:val="auto"/>
                <w:szCs w:val="21"/>
                <w:highlight w:val="none"/>
              </w:rPr>
              <w:t>11</w:t>
            </w:r>
            <w:r>
              <w:rPr>
                <w:rFonts w:hint="eastAsia" w:ascii="宋体" w:hAnsi="宋体" w:cs="Calibri"/>
                <w:color w:val="auto"/>
                <w:szCs w:val="21"/>
                <w:highlight w:val="none"/>
              </w:rPr>
              <w:t>.设计中所配置的设备和材料，必须是技术先进，性能可靠，安全适用，经济合理，扩容容易等特点的优质产品。</w:t>
            </w:r>
          </w:p>
          <w:p>
            <w:pPr>
              <w:spacing w:line="420" w:lineRule="exact"/>
              <w:ind w:firstLine="420" w:firstLineChars="200"/>
              <w:rPr>
                <w:rFonts w:ascii="宋体" w:hAnsi="宋体" w:cs="Calibri"/>
                <w:color w:val="auto"/>
                <w:szCs w:val="21"/>
                <w:highlight w:val="none"/>
              </w:rPr>
            </w:pPr>
            <w:r>
              <w:rPr>
                <w:rFonts w:ascii="宋体" w:hAnsi="宋体" w:cs="Calibri"/>
                <w:color w:val="auto"/>
                <w:szCs w:val="21"/>
                <w:highlight w:val="none"/>
              </w:rPr>
              <w:t>12.</w:t>
            </w:r>
            <w:r>
              <w:rPr>
                <w:rFonts w:hint="eastAsia" w:ascii="宋体" w:hAnsi="宋体" w:cs="Calibri"/>
                <w:color w:val="auto"/>
                <w:szCs w:val="21"/>
                <w:highlight w:val="none"/>
              </w:rPr>
              <w:t>项目设计及编制要达到《关于印发国家政务信息化项目建设管理办法的通知》（国办发〔2019〕57号）、广西壮族自治区人民政府办公厅《关于印发广西政务信息化项目建设管理办法（试行)的通知》（桂政办发〔2021〕21 号)规定的文档格式和编制要求，同时，设计文件以满足采购人的建设需求以及通过审批主管部门的审批为交付标准，如项目不能通过审批主管部门审批，设计单位承诺按审批主管部门的要求修改直至最终通过。</w:t>
            </w:r>
          </w:p>
          <w:p>
            <w:pPr>
              <w:spacing w:line="420" w:lineRule="exact"/>
              <w:ind w:firstLine="420" w:firstLineChars="200"/>
              <w:rPr>
                <w:rFonts w:ascii="宋体" w:hAnsi="宋体" w:cs="Calibri"/>
                <w:color w:val="auto"/>
                <w:szCs w:val="21"/>
                <w:highlight w:val="none"/>
              </w:rPr>
            </w:pPr>
            <w:r>
              <w:rPr>
                <w:rFonts w:hint="eastAsia" w:ascii="宋体" w:hAnsi="宋体" w:cs="Calibri"/>
                <w:color w:val="auto"/>
                <w:szCs w:val="21"/>
                <w:highlight w:val="none"/>
              </w:rPr>
              <w:t>（</w:t>
            </w:r>
            <w:r>
              <w:rPr>
                <w:rFonts w:hint="eastAsia" w:ascii="宋体" w:hAnsi="宋体" w:cs="Calibri"/>
                <w:color w:val="auto"/>
                <w:szCs w:val="21"/>
                <w:highlight w:val="none"/>
                <w:lang w:val="en-US" w:eastAsia="zh-CN"/>
              </w:rPr>
              <w:t>3</w:t>
            </w:r>
            <w:r>
              <w:rPr>
                <w:rFonts w:hint="eastAsia" w:ascii="宋体" w:hAnsi="宋体" w:cs="Calibri"/>
                <w:color w:val="auto"/>
                <w:szCs w:val="21"/>
                <w:highlight w:val="none"/>
              </w:rPr>
              <w:t>）项目概算编制要求（包括但不限于）</w:t>
            </w:r>
          </w:p>
          <w:p>
            <w:pPr>
              <w:spacing w:line="420" w:lineRule="exact"/>
              <w:ind w:firstLine="420" w:firstLineChars="200"/>
              <w:rPr>
                <w:rFonts w:ascii="宋体" w:hAnsi="宋体" w:cs="Calibri"/>
                <w:color w:val="auto"/>
                <w:szCs w:val="21"/>
                <w:highlight w:val="none"/>
              </w:rPr>
            </w:pPr>
            <w:r>
              <w:rPr>
                <w:rFonts w:hint="eastAsia" w:ascii="宋体" w:hAnsi="宋体" w:cs="Calibri"/>
                <w:color w:val="auto"/>
                <w:szCs w:val="21"/>
                <w:highlight w:val="none"/>
              </w:rPr>
              <w:t>1.项目投资概算编制包括项目的总概算和各项明细费用概算，概算要科学、合理。</w:t>
            </w:r>
          </w:p>
          <w:p>
            <w:pPr>
              <w:spacing w:line="420" w:lineRule="exact"/>
              <w:ind w:firstLine="420" w:firstLineChars="200"/>
              <w:rPr>
                <w:rFonts w:ascii="宋体" w:hAnsi="宋体" w:cs="Calibri"/>
                <w:color w:val="auto"/>
                <w:szCs w:val="21"/>
                <w:highlight w:val="none"/>
              </w:rPr>
            </w:pPr>
            <w:r>
              <w:rPr>
                <w:rFonts w:hint="eastAsia" w:ascii="宋体" w:hAnsi="宋体" w:cs="Calibri"/>
                <w:color w:val="auto"/>
                <w:szCs w:val="21"/>
                <w:highlight w:val="none"/>
              </w:rPr>
              <w:t>2.概算编制依据：列举所依据的重要法律法规、文件、引用的国家标准和行业标准等名称及具体引用条款内容，并将其中必要的部分全文附后，作为报告的附件。包括概算编制的原则和依据；设备、软件的价格获取方式和确认途径；各种取费依据和标准等，并评价其合理性。</w:t>
            </w:r>
          </w:p>
          <w:p>
            <w:pPr>
              <w:spacing w:line="420" w:lineRule="exact"/>
              <w:ind w:firstLine="420" w:firstLineChars="200"/>
              <w:rPr>
                <w:rFonts w:ascii="宋体" w:hAnsi="宋体" w:cs="Calibri"/>
                <w:color w:val="auto"/>
                <w:szCs w:val="21"/>
                <w:highlight w:val="none"/>
              </w:rPr>
            </w:pPr>
            <w:r>
              <w:rPr>
                <w:rFonts w:hint="eastAsia" w:ascii="宋体" w:hAnsi="宋体" w:cs="Calibri"/>
                <w:color w:val="auto"/>
                <w:szCs w:val="21"/>
                <w:highlight w:val="none"/>
              </w:rPr>
              <w:t>3.明确项目所需总投资及其构成，包括工程建设费用、工程建设其他费用和预备费。对投资概算总表中设备购置费内各分项及商业软件部分要提供“项目软硬件配置清单”，包括名称、参考型号、主要参数、数量、单价及其折扣率、部署地点等详细信息；对定制开发应用软件应根据实际需求按照软件工程的规范及要求初步测算各阶段所需工作量、不同类型的技术人员及其对应的人工费用。</w:t>
            </w:r>
          </w:p>
          <w:p>
            <w:pPr>
              <w:spacing w:line="420" w:lineRule="exact"/>
              <w:ind w:firstLine="420" w:firstLineChars="200"/>
              <w:rPr>
                <w:rFonts w:ascii="宋体" w:hAnsi="宋体" w:cs="Calibri"/>
                <w:color w:val="auto"/>
                <w:szCs w:val="21"/>
                <w:highlight w:val="none"/>
              </w:rPr>
            </w:pPr>
            <w:r>
              <w:rPr>
                <w:rFonts w:hint="eastAsia" w:ascii="宋体" w:hAnsi="宋体" w:cs="Calibri"/>
                <w:color w:val="auto"/>
                <w:szCs w:val="21"/>
                <w:highlight w:val="none"/>
              </w:rPr>
              <w:t>4.结合项目具体情况，提出项目的资金筹措方案，并分项说明资金来源及使用计划。</w:t>
            </w:r>
          </w:p>
          <w:p>
            <w:pPr>
              <w:spacing w:line="420" w:lineRule="exact"/>
              <w:ind w:firstLine="420" w:firstLineChars="200"/>
              <w:rPr>
                <w:rFonts w:ascii="宋体" w:hAnsi="宋体" w:cs="Calibri"/>
                <w:color w:val="auto"/>
                <w:szCs w:val="21"/>
                <w:highlight w:val="none"/>
              </w:rPr>
            </w:pPr>
            <w:r>
              <w:rPr>
                <w:rFonts w:hint="eastAsia" w:ascii="宋体" w:hAnsi="宋体" w:cs="Calibri"/>
                <w:color w:val="auto"/>
                <w:szCs w:val="21"/>
                <w:highlight w:val="none"/>
              </w:rPr>
              <w:t>5.结合系统运维方案，对系统建成后的年度运行经费进行估算，说明运行维护的经费来源和使用计划，提供运行维护的人员工资、相关待遇，系统运行所需备件、配件及电力耗损等费用预算。</w:t>
            </w:r>
          </w:p>
          <w:p>
            <w:pPr>
              <w:spacing w:line="420" w:lineRule="exact"/>
              <w:ind w:firstLine="420" w:firstLineChars="200"/>
              <w:rPr>
                <w:rFonts w:ascii="宋体" w:hAnsi="宋体" w:cs="Calibri"/>
                <w:color w:val="auto"/>
                <w:szCs w:val="21"/>
                <w:highlight w:val="none"/>
              </w:rPr>
            </w:pPr>
            <w:r>
              <w:rPr>
                <w:rFonts w:hint="eastAsia" w:ascii="宋体" w:hAnsi="宋体" w:cs="Calibri"/>
                <w:color w:val="auto"/>
                <w:szCs w:val="21"/>
                <w:highlight w:val="none"/>
              </w:rPr>
              <w:t>6.所有概算表要提供可编辑的电子版本，所有相关数据需建立计算公式，分表与总表建立链接。同时，必须采用符合自治区住房城乡建设厅《关于公布2016年建设工程计价软件符合性测评合格名单的通知》（桂建价〔2016〕1号）文件要求的合格计价软件，并根据2016年《广西壮族自治区建设工程费用定额》要求套用各项设备、软件的定额，完成项目概算取费。</w:t>
            </w:r>
          </w:p>
          <w:p>
            <w:pPr>
              <w:spacing w:line="420" w:lineRule="exact"/>
              <w:ind w:firstLine="420" w:firstLineChars="200"/>
              <w:rPr>
                <w:rFonts w:ascii="宋体" w:hAnsi="宋体" w:cs="Calibri"/>
                <w:color w:val="auto"/>
                <w:szCs w:val="21"/>
                <w:highlight w:val="none"/>
              </w:rPr>
            </w:pPr>
            <w:r>
              <w:rPr>
                <w:rFonts w:hint="eastAsia" w:ascii="宋体" w:hAnsi="宋体" w:cs="Calibri"/>
                <w:color w:val="auto"/>
                <w:szCs w:val="21"/>
                <w:highlight w:val="none"/>
              </w:rPr>
              <w:t>7．详细要求参照国家电子政务工程建设项目初步设计方案和投资概算报告编制要求，并按照自治区住房城乡建设厅关于颁发2018年《广西壮族自治区工程建设其他费用定额》的通知（桂建标〔2018〕37号）等现行相关规范、标准等规定进行概预算书编制。</w:t>
            </w:r>
          </w:p>
          <w:p>
            <w:pPr>
              <w:spacing w:line="420" w:lineRule="exact"/>
              <w:ind w:firstLine="258" w:firstLineChars="123"/>
              <w:rPr>
                <w:rFonts w:ascii="宋体" w:hAnsi="宋体" w:cs="Calibri"/>
                <w:color w:val="auto"/>
                <w:szCs w:val="21"/>
                <w:highlight w:val="none"/>
              </w:rPr>
            </w:pPr>
            <w:r>
              <w:rPr>
                <w:rFonts w:hint="eastAsia" w:ascii="宋体" w:hAnsi="宋体" w:cs="Calibri"/>
                <w:color w:val="auto"/>
                <w:szCs w:val="21"/>
                <w:highlight w:val="none"/>
              </w:rPr>
              <w:t>（</w:t>
            </w:r>
            <w:r>
              <w:rPr>
                <w:rFonts w:hint="eastAsia" w:ascii="宋体" w:hAnsi="宋体" w:cs="Calibri"/>
                <w:color w:val="auto"/>
                <w:szCs w:val="21"/>
                <w:highlight w:val="none"/>
                <w:lang w:val="en-US" w:eastAsia="zh-CN"/>
              </w:rPr>
              <w:t>4</w:t>
            </w:r>
            <w:r>
              <w:rPr>
                <w:rFonts w:hint="eastAsia" w:ascii="宋体" w:hAnsi="宋体" w:cs="Calibri"/>
                <w:color w:val="auto"/>
                <w:szCs w:val="21"/>
                <w:highlight w:val="none"/>
              </w:rPr>
              <w:t>）项目文件格式要求（包括但不限于）</w:t>
            </w:r>
          </w:p>
          <w:p>
            <w:pPr>
              <w:spacing w:line="420" w:lineRule="exact"/>
              <w:ind w:firstLine="258" w:firstLineChars="123"/>
              <w:rPr>
                <w:rFonts w:ascii="宋体" w:hAnsi="宋体" w:cs="Calibri"/>
                <w:color w:val="auto"/>
                <w:szCs w:val="21"/>
                <w:highlight w:val="none"/>
              </w:rPr>
            </w:pPr>
            <w:r>
              <w:rPr>
                <w:rFonts w:hint="eastAsia" w:ascii="宋体" w:hAnsi="宋体" w:cs="Calibri"/>
                <w:color w:val="auto"/>
                <w:szCs w:val="21"/>
                <w:highlight w:val="none"/>
              </w:rPr>
              <w:t>1．整体设计文本应格式一致、名称统一，避免出现不同设计人员的不同设计风格。</w:t>
            </w:r>
          </w:p>
          <w:p>
            <w:pPr>
              <w:spacing w:line="420" w:lineRule="exact"/>
              <w:ind w:firstLine="258" w:firstLineChars="123"/>
              <w:rPr>
                <w:rFonts w:ascii="宋体" w:hAnsi="宋体" w:cs="Calibri"/>
                <w:color w:val="auto"/>
                <w:szCs w:val="21"/>
                <w:highlight w:val="none"/>
              </w:rPr>
            </w:pPr>
            <w:r>
              <w:rPr>
                <w:rFonts w:hint="eastAsia" w:ascii="宋体" w:hAnsi="宋体" w:cs="Calibri"/>
                <w:color w:val="auto"/>
                <w:szCs w:val="21"/>
                <w:highlight w:val="none"/>
              </w:rPr>
              <w:t>2．设计文件应按照国家标准和部颁（行业）设计规范要求的相关原则套用。设计文件的文字、名词、计量单位等，都应采用现行的国家标准和部颁（行业）标准。</w:t>
            </w:r>
          </w:p>
          <w:p>
            <w:pPr>
              <w:spacing w:line="420" w:lineRule="exact"/>
              <w:ind w:firstLine="258" w:firstLineChars="123"/>
              <w:rPr>
                <w:rFonts w:ascii="宋体" w:hAnsi="宋体" w:cs="Calibri"/>
                <w:color w:val="auto"/>
                <w:szCs w:val="21"/>
                <w:highlight w:val="none"/>
              </w:rPr>
            </w:pPr>
            <w:r>
              <w:rPr>
                <w:rFonts w:hint="eastAsia" w:ascii="宋体" w:hAnsi="宋体" w:cs="Calibri"/>
                <w:color w:val="auto"/>
                <w:szCs w:val="21"/>
                <w:highlight w:val="none"/>
              </w:rPr>
              <w:t>3．设计文件的编印应符合规范化、标准化的要求，包括：设计说明书页张篇幅及各号图纸大小篇幅应符合国家标准规定尺寸；设计文件册的封面必须能表示出设计项目的全名、分册编号及工程名称。设计文件的分册由设计单位与建设单位协商后决定。</w:t>
            </w:r>
          </w:p>
          <w:p>
            <w:pPr>
              <w:spacing w:line="420" w:lineRule="exact"/>
              <w:ind w:firstLine="258" w:firstLineChars="123"/>
              <w:rPr>
                <w:rFonts w:ascii="宋体" w:hAnsi="宋体" w:cs="Calibri"/>
                <w:color w:val="auto"/>
                <w:szCs w:val="21"/>
                <w:highlight w:val="none"/>
              </w:rPr>
            </w:pPr>
            <w:r>
              <w:rPr>
                <w:rFonts w:hint="eastAsia" w:ascii="宋体" w:hAnsi="宋体" w:cs="Calibri"/>
                <w:color w:val="auto"/>
                <w:szCs w:val="21"/>
                <w:highlight w:val="none"/>
              </w:rPr>
              <w:t>4．图纸要求采用Microsoft Visio 2007以上版本进行绘制；文档采用Microsoft Office 2007或WPS Office 2013及以上版本软件编制；计算要求采用国内外通行的商业软件，并最终形成具有公式关联计算关系的Microsoft Excel 2007或WPS表格2013及以上版本的电子表格。</w:t>
            </w:r>
          </w:p>
          <w:p>
            <w:pPr>
              <w:spacing w:line="420" w:lineRule="exact"/>
              <w:ind w:firstLine="258" w:firstLineChars="123"/>
              <w:rPr>
                <w:rFonts w:ascii="宋体" w:hAnsi="宋体" w:cs="Calibri"/>
                <w:color w:val="auto"/>
                <w:szCs w:val="21"/>
                <w:highlight w:val="none"/>
              </w:rPr>
            </w:pPr>
            <w:r>
              <w:rPr>
                <w:rFonts w:hint="eastAsia" w:ascii="宋体" w:hAnsi="宋体" w:cs="Calibri"/>
                <w:color w:val="auto"/>
                <w:szCs w:val="21"/>
                <w:highlight w:val="none"/>
              </w:rPr>
              <w:t>5．设计文件的编制和装订应符合建设单位项目申报、归档保存要求。</w:t>
            </w:r>
          </w:p>
          <w:p>
            <w:pPr>
              <w:spacing w:line="420" w:lineRule="exact"/>
              <w:ind w:firstLine="258" w:firstLineChars="123"/>
              <w:rPr>
                <w:rFonts w:ascii="宋体" w:hAnsi="宋体" w:cs="Calibri"/>
                <w:color w:val="auto"/>
                <w:szCs w:val="21"/>
                <w:highlight w:val="none"/>
              </w:rPr>
            </w:pPr>
            <w:r>
              <w:rPr>
                <w:rFonts w:hint="eastAsia" w:ascii="宋体" w:hAnsi="宋体" w:cs="Calibri"/>
                <w:color w:val="auto"/>
                <w:szCs w:val="21"/>
                <w:highlight w:val="none"/>
              </w:rPr>
              <w:t>（</w:t>
            </w:r>
            <w:r>
              <w:rPr>
                <w:rFonts w:hint="eastAsia" w:ascii="宋体" w:hAnsi="宋体" w:cs="Calibri"/>
                <w:color w:val="auto"/>
                <w:szCs w:val="21"/>
                <w:highlight w:val="none"/>
                <w:lang w:val="en-US" w:eastAsia="zh-CN"/>
              </w:rPr>
              <w:t>5</w:t>
            </w:r>
            <w:r>
              <w:rPr>
                <w:rFonts w:hint="eastAsia" w:ascii="宋体" w:hAnsi="宋体" w:cs="Calibri"/>
                <w:color w:val="auto"/>
                <w:szCs w:val="21"/>
                <w:highlight w:val="none"/>
              </w:rPr>
              <w:t>）项目设计深度要求</w:t>
            </w:r>
          </w:p>
          <w:p>
            <w:pPr>
              <w:spacing w:line="420" w:lineRule="exact"/>
              <w:ind w:firstLine="409" w:firstLineChars="195"/>
              <w:rPr>
                <w:rFonts w:ascii="宋体" w:hAnsi="宋体" w:cs="Calibri"/>
                <w:color w:val="auto"/>
                <w:szCs w:val="21"/>
                <w:highlight w:val="none"/>
              </w:rPr>
            </w:pPr>
            <w:r>
              <w:rPr>
                <w:rFonts w:hint="eastAsia" w:ascii="宋体" w:hAnsi="宋体" w:cs="Calibri"/>
                <w:color w:val="auto"/>
                <w:szCs w:val="21"/>
                <w:highlight w:val="none"/>
              </w:rPr>
              <w:t>设计文件的编制必须遵循所确定的内容、要求、基础资料及调研成果进行编制，充分结合项目实际情况，总体设计应采用国际先进成熟的技术架构，符合信息化发展趋势及相关技术和安全标准规范，设计深度应达到并高于行业内相关标准，能够满足采购人和项目审批主管部门的相关审查要求，并保证设计通过。</w:t>
            </w:r>
          </w:p>
          <w:p>
            <w:pPr>
              <w:spacing w:line="420" w:lineRule="exact"/>
              <w:ind w:firstLine="48" w:firstLineChars="23"/>
              <w:rPr>
                <w:rFonts w:ascii="宋体" w:hAnsi="宋体" w:cs="Calibri"/>
                <w:b/>
                <w:bCs/>
                <w:color w:val="auto"/>
                <w:szCs w:val="21"/>
                <w:highlight w:val="none"/>
              </w:rPr>
            </w:pPr>
            <w:r>
              <w:rPr>
                <w:rFonts w:hint="eastAsia" w:ascii="宋体" w:hAnsi="宋体" w:cs="Calibri"/>
                <w:b/>
                <w:bCs/>
                <w:color w:val="auto"/>
                <w:szCs w:val="21"/>
                <w:highlight w:val="none"/>
                <w:lang w:eastAsia="zh-CN"/>
              </w:rPr>
              <w:t>三、</w:t>
            </w:r>
            <w:r>
              <w:rPr>
                <w:rFonts w:hint="eastAsia" w:ascii="宋体" w:hAnsi="宋体" w:cs="Calibri"/>
                <w:b/>
                <w:bCs/>
                <w:color w:val="auto"/>
                <w:szCs w:val="21"/>
                <w:highlight w:val="none"/>
              </w:rPr>
              <w:t>项目后续服务要求</w:t>
            </w:r>
          </w:p>
          <w:p>
            <w:pPr>
              <w:spacing w:line="420" w:lineRule="exact"/>
              <w:ind w:firstLine="420" w:firstLineChars="200"/>
              <w:rPr>
                <w:rFonts w:ascii="宋体" w:hAnsi="宋体" w:cs="Calibri"/>
                <w:color w:val="auto"/>
                <w:szCs w:val="21"/>
                <w:highlight w:val="none"/>
              </w:rPr>
            </w:pPr>
            <w:r>
              <w:rPr>
                <w:rFonts w:hint="eastAsia" w:ascii="宋体" w:hAnsi="宋体" w:cs="Calibri"/>
                <w:color w:val="auto"/>
                <w:szCs w:val="21"/>
                <w:highlight w:val="none"/>
              </w:rPr>
              <w:t>设计成果交付后，中标人需跟进项目设计中所有项目建设的全过程，为建设单位提供协助编制设计方案交底、技术评审验证等技术服务，并参与相关工作，确保建设单位的思路及总体设计意图得到实施和落实。具体要求包括但不限于以下内容：</w:t>
            </w:r>
          </w:p>
          <w:p>
            <w:pPr>
              <w:spacing w:line="420" w:lineRule="exact"/>
              <w:ind w:firstLine="420" w:firstLineChars="200"/>
              <w:rPr>
                <w:rFonts w:ascii="宋体" w:hAnsi="宋体" w:cs="Calibri"/>
                <w:color w:val="auto"/>
                <w:szCs w:val="21"/>
                <w:highlight w:val="none"/>
              </w:rPr>
            </w:pPr>
            <w:r>
              <w:rPr>
                <w:rFonts w:ascii="宋体" w:hAnsi="宋体" w:cs="Calibri"/>
                <w:color w:val="auto"/>
                <w:szCs w:val="21"/>
                <w:highlight w:val="none"/>
              </w:rPr>
              <w:t>1.</w:t>
            </w:r>
            <w:r>
              <w:rPr>
                <w:rFonts w:hint="eastAsia" w:ascii="宋体" w:hAnsi="宋体" w:cs="Calibri"/>
                <w:color w:val="auto"/>
                <w:szCs w:val="21"/>
                <w:highlight w:val="none"/>
              </w:rPr>
              <w:t>设计方案交底：（1）在项目建设实施过程中，对建设单位及项目承建单位进行技术交底，包括但不限于设计的设计思路、技术选型、产品功能特点、质量要求以及其他技术细节等；（2）解答建设单位及项目承建单位提出的对设计不清楚或不明确的疑问。接口人联系方式要求保持工作时间5x8 小时畅通；。</w:t>
            </w:r>
          </w:p>
          <w:p>
            <w:pPr>
              <w:spacing w:line="420" w:lineRule="exact"/>
              <w:ind w:firstLine="420" w:firstLineChars="200"/>
              <w:rPr>
                <w:rFonts w:ascii="宋体" w:hAnsi="宋体" w:cs="Calibri"/>
                <w:color w:val="auto"/>
                <w:szCs w:val="21"/>
                <w:highlight w:val="none"/>
              </w:rPr>
            </w:pPr>
            <w:r>
              <w:rPr>
                <w:rFonts w:ascii="宋体" w:hAnsi="宋体" w:cs="Calibri"/>
                <w:color w:val="auto"/>
                <w:szCs w:val="21"/>
                <w:highlight w:val="none"/>
              </w:rPr>
              <w:t>2.</w:t>
            </w:r>
            <w:r>
              <w:rPr>
                <w:rFonts w:hint="eastAsia" w:ascii="宋体" w:hAnsi="宋体" w:cs="Calibri"/>
                <w:color w:val="auto"/>
                <w:szCs w:val="21"/>
                <w:highlight w:val="none"/>
              </w:rPr>
              <w:t>技术评审验证：根据项目建设情况和实际情况，中标人参与项目实施过程重要里程牌的评审和验证，及时提交评审意见给建设单位。</w:t>
            </w:r>
          </w:p>
          <w:p>
            <w:pPr>
              <w:spacing w:line="420" w:lineRule="exact"/>
              <w:ind w:firstLine="420" w:firstLineChars="200"/>
              <w:rPr>
                <w:rFonts w:ascii="宋体" w:hAnsi="宋体" w:cs="Calibri"/>
                <w:color w:val="auto"/>
                <w:szCs w:val="21"/>
                <w:highlight w:val="none"/>
              </w:rPr>
            </w:pPr>
            <w:r>
              <w:rPr>
                <w:rFonts w:ascii="宋体" w:hAnsi="宋体" w:cs="Calibri"/>
                <w:color w:val="auto"/>
                <w:szCs w:val="21"/>
                <w:highlight w:val="none"/>
              </w:rPr>
              <w:t>3.</w:t>
            </w:r>
            <w:r>
              <w:rPr>
                <w:rFonts w:hint="eastAsia" w:ascii="宋体" w:hAnsi="宋体" w:cs="Calibri"/>
                <w:color w:val="auto"/>
                <w:szCs w:val="21"/>
                <w:highlight w:val="none"/>
              </w:rPr>
              <w:t>技术分析：实施过程中发生了质量事故或形成质量隐患时，由承建单位组织有关方参加技术分析，中标人应派负责人参加。如涉及到技术设计的原因，中标人应组织技术负责人进行研究分析，并提交解决方案。</w:t>
            </w:r>
          </w:p>
          <w:p>
            <w:pPr>
              <w:spacing w:line="420" w:lineRule="exact"/>
              <w:ind w:firstLine="48" w:firstLineChars="23"/>
              <w:rPr>
                <w:rFonts w:ascii="宋体" w:hAnsi="宋体" w:cs="Calibri"/>
                <w:b/>
                <w:bCs/>
                <w:color w:val="auto"/>
                <w:szCs w:val="21"/>
                <w:highlight w:val="none"/>
              </w:rPr>
            </w:pPr>
            <w:r>
              <w:rPr>
                <w:rFonts w:hint="eastAsia" w:ascii="宋体" w:hAnsi="宋体" w:cs="Calibri"/>
                <w:b/>
                <w:bCs/>
                <w:color w:val="auto"/>
                <w:szCs w:val="21"/>
                <w:highlight w:val="none"/>
                <w:lang w:eastAsia="zh-CN"/>
              </w:rPr>
              <w:t>四、</w:t>
            </w:r>
            <w:r>
              <w:rPr>
                <w:rFonts w:hint="eastAsia" w:ascii="宋体" w:hAnsi="宋体" w:cs="Calibri"/>
                <w:b/>
                <w:bCs/>
                <w:color w:val="auto"/>
                <w:szCs w:val="21"/>
                <w:highlight w:val="none"/>
              </w:rPr>
              <w:t>项目服务成果及交付要求</w:t>
            </w:r>
          </w:p>
          <w:p>
            <w:pPr>
              <w:spacing w:line="420" w:lineRule="exact"/>
              <w:ind w:firstLine="48" w:firstLineChars="23"/>
              <w:rPr>
                <w:rFonts w:ascii="宋体" w:hAnsi="宋体" w:cs="Calibri"/>
                <w:color w:val="auto"/>
                <w:szCs w:val="21"/>
                <w:highlight w:val="none"/>
              </w:rPr>
            </w:pPr>
            <w:r>
              <w:rPr>
                <w:rFonts w:hint="eastAsia" w:ascii="宋体" w:hAnsi="宋体" w:cs="Calibri"/>
                <w:color w:val="auto"/>
                <w:szCs w:val="21"/>
                <w:highlight w:val="none"/>
              </w:rPr>
              <w:t>1.服务成果要求：</w:t>
            </w:r>
          </w:p>
          <w:p>
            <w:pPr>
              <w:shd w:val="clear"/>
              <w:spacing w:line="420" w:lineRule="exact"/>
              <w:ind w:firstLine="420" w:firstLineChars="200"/>
              <w:rPr>
                <w:rFonts w:ascii="宋体" w:hAnsi="宋体" w:cs="Calibri"/>
                <w:color w:val="auto"/>
                <w:szCs w:val="21"/>
                <w:highlight w:val="none"/>
              </w:rPr>
            </w:pPr>
            <w:r>
              <w:rPr>
                <w:rFonts w:hint="eastAsia" w:ascii="宋体" w:hAnsi="宋体" w:cs="Calibri"/>
                <w:color w:val="auto"/>
                <w:szCs w:val="21"/>
                <w:highlight w:val="none"/>
              </w:rPr>
              <w:t>（</w:t>
            </w:r>
            <w:r>
              <w:rPr>
                <w:rFonts w:ascii="宋体" w:hAnsi="宋体" w:cs="Calibri"/>
                <w:color w:val="auto"/>
                <w:szCs w:val="21"/>
                <w:highlight w:val="none"/>
              </w:rPr>
              <w:t>1</w:t>
            </w:r>
            <w:r>
              <w:rPr>
                <w:rFonts w:hint="eastAsia" w:ascii="宋体" w:hAnsi="宋体" w:cs="Calibri"/>
                <w:color w:val="auto"/>
                <w:szCs w:val="21"/>
                <w:highlight w:val="none"/>
              </w:rPr>
              <w:t>）《云上东博会系统建设项目可行性研究报告》。</w:t>
            </w:r>
          </w:p>
          <w:p>
            <w:pPr>
              <w:shd w:val="clear"/>
              <w:spacing w:line="420" w:lineRule="exact"/>
              <w:ind w:firstLine="420" w:firstLineChars="200"/>
              <w:rPr>
                <w:rFonts w:ascii="宋体" w:hAnsi="宋体" w:cs="Calibri"/>
                <w:color w:val="auto"/>
                <w:szCs w:val="21"/>
                <w:highlight w:val="none"/>
              </w:rPr>
            </w:pPr>
            <w:r>
              <w:rPr>
                <w:rFonts w:hint="eastAsia" w:ascii="宋体" w:hAnsi="宋体" w:cs="Calibri"/>
                <w:color w:val="auto"/>
                <w:szCs w:val="21"/>
                <w:highlight w:val="none"/>
              </w:rPr>
              <w:t>（2）可研报告评估报告。</w:t>
            </w:r>
          </w:p>
          <w:p>
            <w:pPr>
              <w:shd w:val="clear"/>
              <w:spacing w:line="420" w:lineRule="exact"/>
              <w:ind w:firstLine="420" w:firstLineChars="200"/>
              <w:rPr>
                <w:rFonts w:ascii="宋体" w:hAnsi="宋体" w:cs="Calibri"/>
                <w:color w:val="auto"/>
                <w:szCs w:val="21"/>
                <w:highlight w:val="none"/>
              </w:rPr>
            </w:pPr>
            <w:r>
              <w:rPr>
                <w:rFonts w:hint="eastAsia" w:ascii="宋体" w:hAnsi="宋体" w:cs="Calibri"/>
                <w:color w:val="auto"/>
                <w:szCs w:val="21"/>
                <w:highlight w:val="none"/>
              </w:rPr>
              <w:t>（3）《云上东博会系统建设项目初步设计方案和投资概算》。</w:t>
            </w:r>
          </w:p>
          <w:p>
            <w:pPr>
              <w:shd w:val="clear"/>
              <w:spacing w:line="420" w:lineRule="exact"/>
              <w:ind w:firstLine="420" w:firstLineChars="200"/>
              <w:rPr>
                <w:rFonts w:hint="eastAsia" w:ascii="宋体" w:hAnsi="宋体" w:cs="Calibri"/>
                <w:color w:val="auto"/>
                <w:szCs w:val="21"/>
                <w:highlight w:val="none"/>
              </w:rPr>
            </w:pPr>
            <w:r>
              <w:rPr>
                <w:rFonts w:hint="eastAsia" w:ascii="宋体" w:hAnsi="宋体" w:cs="Calibri"/>
                <w:color w:val="auto"/>
                <w:szCs w:val="21"/>
                <w:highlight w:val="none"/>
              </w:rPr>
              <w:t>（4）初步设计和投资概算评估报告。</w:t>
            </w:r>
          </w:p>
          <w:p>
            <w:pPr>
              <w:shd w:val="clear"/>
              <w:spacing w:line="420" w:lineRule="exact"/>
              <w:ind w:firstLine="420" w:firstLineChars="200"/>
              <w:rPr>
                <w:rFonts w:hint="eastAsia"/>
                <w:color w:val="auto"/>
                <w:highlight w:val="none"/>
              </w:rPr>
            </w:pPr>
            <w:r>
              <w:rPr>
                <w:rFonts w:hint="eastAsia"/>
                <w:color w:val="auto"/>
                <w:highlight w:val="none"/>
              </w:rPr>
              <w:t>（5）相关财评资料。</w:t>
            </w:r>
          </w:p>
          <w:p>
            <w:pPr>
              <w:spacing w:line="420" w:lineRule="exact"/>
              <w:ind w:firstLine="48" w:firstLineChars="23"/>
              <w:rPr>
                <w:rFonts w:ascii="宋体" w:hAnsi="宋体" w:cs="Calibri"/>
                <w:color w:val="auto"/>
                <w:szCs w:val="21"/>
                <w:highlight w:val="none"/>
              </w:rPr>
            </w:pPr>
            <w:r>
              <w:rPr>
                <w:rFonts w:hint="eastAsia" w:ascii="宋体" w:hAnsi="宋体" w:cs="Calibri"/>
                <w:color w:val="auto"/>
                <w:szCs w:val="21"/>
                <w:highlight w:val="none"/>
              </w:rPr>
              <w:t>2．提交要求：</w:t>
            </w:r>
          </w:p>
          <w:p>
            <w:pPr>
              <w:spacing w:line="420" w:lineRule="exact"/>
              <w:ind w:firstLine="420" w:firstLineChars="200"/>
              <w:rPr>
                <w:rFonts w:ascii="宋体" w:hAnsi="宋体" w:cs="Calibri"/>
                <w:color w:val="auto"/>
                <w:szCs w:val="21"/>
                <w:highlight w:val="none"/>
              </w:rPr>
            </w:pPr>
            <w:r>
              <w:rPr>
                <w:rFonts w:hint="eastAsia" w:ascii="宋体" w:hAnsi="宋体" w:cs="Calibri"/>
                <w:color w:val="auto"/>
                <w:szCs w:val="21"/>
                <w:highlight w:val="none"/>
              </w:rPr>
              <w:t>（1）中标人应在项目完成时，将本项目所有相关的技术文件，以及设计服务期间所需要制订的文档汇集成册交付采购人。</w:t>
            </w:r>
          </w:p>
          <w:p>
            <w:pPr>
              <w:spacing w:line="420" w:lineRule="exact"/>
              <w:ind w:firstLine="420" w:firstLineChars="200"/>
              <w:rPr>
                <w:rFonts w:ascii="宋体" w:hAnsi="宋体" w:cs="Calibri"/>
                <w:color w:val="auto"/>
                <w:szCs w:val="21"/>
                <w:highlight w:val="none"/>
              </w:rPr>
            </w:pPr>
            <w:r>
              <w:rPr>
                <w:rFonts w:hint="eastAsia" w:ascii="宋体" w:hAnsi="宋体" w:cs="Calibri"/>
                <w:color w:val="auto"/>
                <w:szCs w:val="21"/>
                <w:highlight w:val="none"/>
              </w:rPr>
              <w:t>（2）所有的文件要求用中文书写或有完整的中文注释。</w:t>
            </w:r>
          </w:p>
          <w:p>
            <w:pPr>
              <w:spacing w:line="420" w:lineRule="exact"/>
              <w:ind w:firstLine="420" w:firstLineChars="200"/>
              <w:rPr>
                <w:rFonts w:ascii="宋体" w:hAnsi="宋体" w:cs="Calibri"/>
                <w:color w:val="auto"/>
                <w:szCs w:val="21"/>
                <w:highlight w:val="none"/>
              </w:rPr>
            </w:pPr>
            <w:r>
              <w:rPr>
                <w:rFonts w:hint="eastAsia" w:ascii="宋体" w:hAnsi="宋体" w:cs="Calibri"/>
                <w:color w:val="auto"/>
                <w:szCs w:val="21"/>
                <w:highlight w:val="none"/>
              </w:rPr>
              <w:t>（3）本项目要求所有文档向建设单位提供纸质文档至少</w:t>
            </w:r>
            <w:r>
              <w:rPr>
                <w:rFonts w:ascii="宋体" w:hAnsi="宋体" w:cs="Calibri"/>
                <w:color w:val="auto"/>
                <w:szCs w:val="21"/>
                <w:highlight w:val="none"/>
              </w:rPr>
              <w:t>3</w:t>
            </w:r>
            <w:r>
              <w:rPr>
                <w:rFonts w:hint="eastAsia" w:ascii="宋体" w:hAnsi="宋体" w:cs="Calibri"/>
                <w:color w:val="auto"/>
                <w:szCs w:val="21"/>
                <w:highlight w:val="none"/>
              </w:rPr>
              <w:t xml:space="preserve"> 套，电子文档1 套。中标人应设置专人在项目建设期间对文档进行检查和管理，项目最终验收后全部移交给建设单位。</w:t>
            </w:r>
          </w:p>
          <w:p>
            <w:pPr>
              <w:spacing w:line="420" w:lineRule="exact"/>
              <w:ind w:firstLine="420" w:firstLineChars="200"/>
              <w:rPr>
                <w:rFonts w:ascii="宋体" w:hAnsi="宋体" w:cs="Calibri"/>
                <w:color w:val="auto"/>
                <w:szCs w:val="21"/>
                <w:highlight w:val="none"/>
              </w:rPr>
            </w:pPr>
            <w:r>
              <w:rPr>
                <w:rFonts w:hint="eastAsia" w:ascii="宋体" w:hAnsi="宋体" w:cs="Calibri"/>
                <w:color w:val="auto"/>
                <w:szCs w:val="21"/>
                <w:highlight w:val="none"/>
              </w:rPr>
              <w:t>（</w:t>
            </w:r>
            <w:r>
              <w:rPr>
                <w:rFonts w:ascii="宋体" w:hAnsi="宋体" w:cs="Calibri"/>
                <w:color w:val="auto"/>
                <w:szCs w:val="21"/>
                <w:highlight w:val="none"/>
              </w:rPr>
              <w:t>4</w:t>
            </w:r>
            <w:r>
              <w:rPr>
                <w:rFonts w:hint="eastAsia" w:ascii="宋体" w:hAnsi="宋体" w:cs="Calibri"/>
                <w:color w:val="auto"/>
                <w:szCs w:val="21"/>
                <w:highlight w:val="none"/>
              </w:rPr>
              <w:t>）所编制的项目初步设计等设计成果文档必须通过有资质的咨询机构评估论证。</w:t>
            </w:r>
          </w:p>
          <w:p>
            <w:pPr>
              <w:spacing w:line="420" w:lineRule="exact"/>
              <w:ind w:firstLine="420" w:firstLineChars="200"/>
              <w:rPr>
                <w:rFonts w:ascii="宋体" w:hAnsi="宋体" w:cs="Calibri"/>
                <w:color w:val="auto"/>
                <w:szCs w:val="21"/>
                <w:highlight w:val="none"/>
              </w:rPr>
            </w:pPr>
            <w:r>
              <w:rPr>
                <w:rFonts w:hint="eastAsia" w:ascii="宋体" w:hAnsi="宋体" w:cs="Calibri"/>
                <w:color w:val="auto"/>
                <w:szCs w:val="21"/>
                <w:highlight w:val="none"/>
              </w:rPr>
              <w:t>（</w:t>
            </w:r>
            <w:r>
              <w:rPr>
                <w:rFonts w:ascii="宋体" w:hAnsi="宋体" w:cs="Calibri"/>
                <w:color w:val="auto"/>
                <w:szCs w:val="21"/>
                <w:highlight w:val="none"/>
              </w:rPr>
              <w:t>5</w:t>
            </w:r>
            <w:r>
              <w:rPr>
                <w:rFonts w:hint="eastAsia" w:ascii="宋体" w:hAnsi="宋体" w:cs="Calibri"/>
                <w:color w:val="auto"/>
                <w:szCs w:val="21"/>
                <w:highlight w:val="none"/>
              </w:rPr>
              <w:t>）项目初步设计等前期文档的编制必须遵循所确定的内容、要求及基础资料进行编制，基础设计深度应达到并高于行业内相关标准，能够满足采购人和项目审批主管部门的相关审查要求，并确保所编制的前期文档通过审批。</w:t>
            </w:r>
          </w:p>
          <w:p>
            <w:pPr>
              <w:spacing w:line="420" w:lineRule="exact"/>
              <w:ind w:firstLine="48" w:firstLineChars="23"/>
              <w:rPr>
                <w:rFonts w:ascii="宋体" w:hAnsi="宋体" w:cs="Calibri"/>
                <w:b/>
                <w:bCs/>
                <w:color w:val="auto"/>
                <w:szCs w:val="21"/>
                <w:highlight w:val="none"/>
              </w:rPr>
            </w:pPr>
            <w:r>
              <w:rPr>
                <w:rFonts w:hint="eastAsia" w:ascii="宋体" w:hAnsi="宋体" w:cs="Calibri"/>
                <w:b/>
                <w:bCs/>
                <w:color w:val="auto"/>
                <w:szCs w:val="21"/>
                <w:highlight w:val="none"/>
                <w:lang w:eastAsia="zh-CN"/>
              </w:rPr>
              <w:t>五、</w:t>
            </w:r>
            <w:r>
              <w:rPr>
                <w:rFonts w:hint="eastAsia" w:ascii="宋体" w:hAnsi="宋体" w:cs="Calibri"/>
                <w:b/>
                <w:bCs/>
                <w:color w:val="auto"/>
                <w:szCs w:val="21"/>
                <w:highlight w:val="none"/>
              </w:rPr>
              <w:t>验收要求</w:t>
            </w:r>
          </w:p>
          <w:p>
            <w:pPr>
              <w:spacing w:line="420" w:lineRule="exact"/>
              <w:ind w:firstLine="420" w:firstLineChars="200"/>
              <w:rPr>
                <w:rFonts w:ascii="宋体" w:hAnsi="宋体" w:cs="Calibri"/>
                <w:color w:val="auto"/>
                <w:szCs w:val="21"/>
                <w:highlight w:val="none"/>
              </w:rPr>
            </w:pPr>
            <w:r>
              <w:rPr>
                <w:rFonts w:hint="eastAsia" w:ascii="宋体" w:hAnsi="宋体" w:cs="Calibri"/>
                <w:color w:val="auto"/>
                <w:szCs w:val="21"/>
                <w:highlight w:val="none"/>
              </w:rPr>
              <w:t>（1）中标人必须在自签订合同之日起60天内完成项目前期工作需求分析并提交相关编制成果。</w:t>
            </w:r>
          </w:p>
          <w:p>
            <w:pPr>
              <w:spacing w:line="420" w:lineRule="exact"/>
              <w:ind w:firstLine="420" w:firstLineChars="200"/>
              <w:rPr>
                <w:rFonts w:ascii="宋体" w:hAnsi="宋体" w:cs="Calibri"/>
                <w:color w:val="auto"/>
                <w:szCs w:val="21"/>
                <w:highlight w:val="none"/>
              </w:rPr>
            </w:pPr>
            <w:r>
              <w:rPr>
                <w:rFonts w:hint="eastAsia" w:ascii="宋体" w:hAnsi="宋体" w:cs="Calibri"/>
                <w:color w:val="auto"/>
                <w:szCs w:val="21"/>
                <w:highlight w:val="none"/>
              </w:rPr>
              <w:t>（2）中标人在项目评审阶段，必须通过专家评审后的</w:t>
            </w:r>
            <w:r>
              <w:rPr>
                <w:rFonts w:ascii="宋体" w:hAnsi="宋体" w:cs="Calibri"/>
                <w:color w:val="auto"/>
                <w:szCs w:val="21"/>
                <w:highlight w:val="none"/>
              </w:rPr>
              <w:t>3</w:t>
            </w:r>
            <w:r>
              <w:rPr>
                <w:rFonts w:hint="eastAsia" w:ascii="宋体" w:hAnsi="宋体" w:cs="Calibri"/>
                <w:color w:val="auto"/>
                <w:szCs w:val="21"/>
                <w:highlight w:val="none"/>
              </w:rPr>
              <w:t>个工作日内，按专家评审意见完成项目方案的相关修订，并递交质量合格的报告报相关部门。</w:t>
            </w:r>
          </w:p>
          <w:p>
            <w:pPr>
              <w:spacing w:line="420" w:lineRule="exact"/>
              <w:ind w:firstLine="420" w:firstLineChars="200"/>
              <w:rPr>
                <w:rFonts w:ascii="宋体" w:hAnsi="宋体" w:cs="Calibri"/>
                <w:color w:val="auto"/>
                <w:szCs w:val="21"/>
                <w:highlight w:val="none"/>
              </w:rPr>
            </w:pPr>
            <w:r>
              <w:rPr>
                <w:rFonts w:hint="eastAsia" w:ascii="宋体" w:hAnsi="宋体" w:cs="Calibri"/>
                <w:color w:val="auto"/>
                <w:szCs w:val="21"/>
                <w:highlight w:val="none"/>
              </w:rPr>
              <w:t>（3）在项目审批部门发文批复同意项目初步设计方案的2个工作日内，中标人必须向采购人移交项目设计相关报告文档一式叁份，包括但不限于全套文件及其电子文档，其中电子文档以只读光盘存储，且必须符合“电子文档格式”的技术要求，同时必须符合《国家电子政务工程建设项目档案管理暂行办法》的归档要求。</w:t>
            </w:r>
          </w:p>
          <w:p>
            <w:pPr>
              <w:spacing w:line="420" w:lineRule="exact"/>
              <w:rPr>
                <w:rFonts w:ascii="宋体" w:hAnsi="宋体" w:cs="Calibri"/>
                <w:b/>
                <w:bCs/>
                <w:color w:val="auto"/>
                <w:szCs w:val="21"/>
                <w:highlight w:val="none"/>
              </w:rPr>
            </w:pPr>
            <w:r>
              <w:rPr>
                <w:rFonts w:hint="eastAsia" w:ascii="宋体" w:hAnsi="宋体" w:cs="Calibri"/>
                <w:b/>
                <w:bCs/>
                <w:color w:val="auto"/>
                <w:szCs w:val="21"/>
                <w:highlight w:val="none"/>
                <w:lang w:eastAsia="zh-CN"/>
              </w:rPr>
              <w:t>六、</w:t>
            </w:r>
            <w:r>
              <w:rPr>
                <w:rFonts w:hint="eastAsia" w:ascii="宋体" w:hAnsi="宋体" w:cs="Calibri"/>
                <w:b/>
                <w:bCs/>
                <w:color w:val="auto"/>
                <w:szCs w:val="21"/>
                <w:highlight w:val="none"/>
              </w:rPr>
              <w:t>其它</w:t>
            </w:r>
          </w:p>
          <w:p>
            <w:pPr>
              <w:ind w:firstLine="420"/>
              <w:rPr>
                <w:rFonts w:hint="default" w:ascii="Times New Roman" w:hAnsi="Times New Roman" w:eastAsia="宋体" w:cs="Times New Roman"/>
                <w:b w:val="0"/>
                <w:bCs w:val="0"/>
                <w:color w:val="auto"/>
                <w:kern w:val="2"/>
                <w:sz w:val="21"/>
                <w:szCs w:val="24"/>
                <w:highlight w:val="none"/>
                <w:lang w:val="en-US" w:eastAsia="zh-CN" w:bidi="ar-SA"/>
              </w:rPr>
            </w:pPr>
            <w:r>
              <w:rPr>
                <w:rFonts w:hint="eastAsia" w:cs="Times New Roman"/>
                <w:b w:val="0"/>
                <w:bCs w:val="0"/>
                <w:color w:val="auto"/>
                <w:kern w:val="2"/>
                <w:sz w:val="21"/>
                <w:szCs w:val="24"/>
                <w:highlight w:val="none"/>
                <w:lang w:val="en-US" w:eastAsia="zh-CN" w:bidi="ar-SA"/>
              </w:rPr>
              <w:t>1</w:t>
            </w:r>
            <w:r>
              <w:rPr>
                <w:rFonts w:hint="eastAsia" w:ascii="Times New Roman" w:hAnsi="Times New Roman" w:eastAsia="宋体" w:cs="Times New Roman"/>
                <w:b w:val="0"/>
                <w:bCs w:val="0"/>
                <w:color w:val="auto"/>
                <w:kern w:val="2"/>
                <w:sz w:val="21"/>
                <w:szCs w:val="24"/>
                <w:highlight w:val="none"/>
                <w:lang w:val="en-US" w:eastAsia="zh-CN" w:bidi="ar-SA"/>
              </w:rPr>
              <w:t>.</w:t>
            </w:r>
            <w:r>
              <w:rPr>
                <w:rFonts w:hint="eastAsia" w:cs="Times New Roman"/>
                <w:b w:val="0"/>
                <w:bCs w:val="0"/>
                <w:color w:val="auto"/>
                <w:kern w:val="2"/>
                <w:sz w:val="21"/>
                <w:szCs w:val="24"/>
                <w:highlight w:val="none"/>
                <w:lang w:val="en-US" w:eastAsia="zh-CN" w:bidi="ar-SA"/>
              </w:rPr>
              <w:t>本项目</w:t>
            </w:r>
            <w:r>
              <w:rPr>
                <w:rFonts w:hint="eastAsia" w:ascii="Times New Roman" w:hAnsi="Times New Roman" w:eastAsia="宋体" w:cs="Times New Roman"/>
                <w:b w:val="0"/>
                <w:bCs w:val="0"/>
                <w:color w:val="auto"/>
                <w:kern w:val="2"/>
                <w:sz w:val="21"/>
                <w:szCs w:val="24"/>
                <w:highlight w:val="none"/>
                <w:lang w:val="en-US" w:eastAsia="zh-CN" w:bidi="ar-SA"/>
              </w:rPr>
              <w:t>中标方须与第一阶段</w:t>
            </w:r>
            <w:r>
              <w:rPr>
                <w:rFonts w:hint="eastAsia" w:cs="Times New Roman"/>
                <w:b w:val="0"/>
                <w:bCs w:val="0"/>
                <w:color w:val="auto"/>
                <w:kern w:val="2"/>
                <w:sz w:val="21"/>
                <w:szCs w:val="24"/>
                <w:highlight w:val="none"/>
                <w:lang w:val="en-US" w:eastAsia="zh-CN" w:bidi="ar-SA"/>
              </w:rPr>
              <w:t>采购服务的</w:t>
            </w:r>
            <w:r>
              <w:rPr>
                <w:rFonts w:hint="eastAsia" w:ascii="Times New Roman" w:hAnsi="Times New Roman" w:eastAsia="宋体" w:cs="Times New Roman"/>
                <w:b w:val="0"/>
                <w:bCs w:val="0"/>
                <w:color w:val="auto"/>
                <w:kern w:val="2"/>
                <w:sz w:val="21"/>
                <w:szCs w:val="24"/>
                <w:highlight w:val="none"/>
                <w:lang w:val="en-US" w:eastAsia="zh-CN" w:bidi="ar-SA"/>
              </w:rPr>
              <w:t>中标方开展无缝衔接，完成项目报告整体编撰</w:t>
            </w:r>
            <w:r>
              <w:rPr>
                <w:rFonts w:hint="eastAsia" w:cs="Times New Roman"/>
                <w:b w:val="0"/>
                <w:bCs w:val="0"/>
                <w:color w:val="auto"/>
                <w:kern w:val="2"/>
                <w:sz w:val="21"/>
                <w:szCs w:val="24"/>
                <w:highlight w:val="none"/>
                <w:lang w:val="en-US" w:eastAsia="zh-CN" w:bidi="ar-SA"/>
              </w:rPr>
              <w:t>，共同开展项目立项的相关工作</w:t>
            </w:r>
            <w:r>
              <w:rPr>
                <w:rFonts w:hint="eastAsia" w:ascii="Times New Roman" w:hAnsi="Times New Roman" w:eastAsia="宋体" w:cs="Times New Roman"/>
                <w:b w:val="0"/>
                <w:bCs w:val="0"/>
                <w:color w:val="auto"/>
                <w:kern w:val="2"/>
                <w:sz w:val="21"/>
                <w:szCs w:val="24"/>
                <w:highlight w:val="none"/>
                <w:lang w:val="en-US" w:eastAsia="zh-CN" w:bidi="ar-SA"/>
              </w:rPr>
              <w:t>。</w:t>
            </w:r>
          </w:p>
          <w:p>
            <w:pPr>
              <w:spacing w:line="360" w:lineRule="auto"/>
              <w:ind w:firstLine="420" w:firstLineChars="200"/>
              <w:rPr>
                <w:color w:val="auto"/>
                <w:szCs w:val="21"/>
                <w:highlight w:val="none"/>
              </w:rPr>
            </w:pPr>
            <w:r>
              <w:rPr>
                <w:rFonts w:hint="eastAsia" w:ascii="宋体" w:hAnsi="宋体" w:cs="Calibri"/>
                <w:color w:val="auto"/>
                <w:szCs w:val="21"/>
                <w:highlight w:val="none"/>
                <w:lang w:val="en-US" w:eastAsia="zh-CN"/>
              </w:rPr>
              <w:t>2.</w:t>
            </w:r>
            <w:r>
              <w:rPr>
                <w:rFonts w:hint="eastAsia" w:ascii="宋体" w:hAnsi="宋体" w:cs="Calibri"/>
                <w:color w:val="auto"/>
                <w:szCs w:val="21"/>
                <w:highlight w:val="none"/>
              </w:rPr>
              <w:t>中标人在编制研究过程中应对有关重要的研究结论、技术需求等及时并分阶段向采购人汇报。</w:t>
            </w:r>
          </w:p>
        </w:tc>
      </w:tr>
      <w:tr>
        <w:tblPrEx>
          <w:tblCellMar>
            <w:top w:w="0" w:type="dxa"/>
            <w:left w:w="0" w:type="dxa"/>
            <w:bottom w:w="0" w:type="dxa"/>
            <w:right w:w="0" w:type="dxa"/>
          </w:tblCellMar>
        </w:tblPrEx>
        <w:trPr>
          <w:trHeight w:val="577" w:hRule="atLeast"/>
          <w:jc w:val="center"/>
        </w:trPr>
        <w:tc>
          <w:tcPr>
            <w:tcW w:w="4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商</w:t>
            </w:r>
          </w:p>
          <w:p>
            <w:pPr>
              <w:spacing w:line="360" w:lineRule="auto"/>
              <w:jc w:val="center"/>
              <w:rPr>
                <w:rFonts w:ascii="宋体" w:hAnsi="宋体"/>
                <w:color w:val="auto"/>
                <w:szCs w:val="21"/>
                <w:highlight w:val="none"/>
              </w:rPr>
            </w:pPr>
            <w:r>
              <w:rPr>
                <w:rFonts w:hint="eastAsia" w:ascii="宋体" w:hAnsi="宋体"/>
                <w:color w:val="auto"/>
                <w:szCs w:val="21"/>
                <w:highlight w:val="none"/>
              </w:rPr>
              <w:t>务</w:t>
            </w:r>
          </w:p>
          <w:p>
            <w:pPr>
              <w:spacing w:line="360" w:lineRule="auto"/>
              <w:jc w:val="center"/>
              <w:rPr>
                <w:rFonts w:ascii="宋体" w:hAnsi="宋体"/>
                <w:color w:val="auto"/>
                <w:szCs w:val="21"/>
                <w:highlight w:val="none"/>
              </w:rPr>
            </w:pPr>
            <w:r>
              <w:rPr>
                <w:rFonts w:hint="eastAsia" w:ascii="宋体" w:hAnsi="宋体"/>
                <w:color w:val="auto"/>
                <w:szCs w:val="21"/>
                <w:highlight w:val="none"/>
              </w:rPr>
              <w:t>条</w:t>
            </w:r>
          </w:p>
          <w:p>
            <w:pPr>
              <w:spacing w:line="360" w:lineRule="auto"/>
              <w:jc w:val="center"/>
              <w:rPr>
                <w:rFonts w:ascii="宋体" w:hAnsi="宋体"/>
                <w:color w:val="auto"/>
                <w:szCs w:val="21"/>
                <w:highlight w:val="none"/>
              </w:rPr>
            </w:pPr>
            <w:r>
              <w:rPr>
                <w:rFonts w:hint="eastAsia" w:ascii="宋体" w:hAnsi="宋体"/>
                <w:color w:val="auto"/>
                <w:szCs w:val="21"/>
                <w:highlight w:val="none"/>
              </w:rPr>
              <w:t>款</w:t>
            </w:r>
          </w:p>
        </w:tc>
        <w:tc>
          <w:tcPr>
            <w:tcW w:w="8723" w:type="dxa"/>
            <w:gridSpan w:val="3"/>
            <w:tcBorders>
              <w:top w:val="single" w:color="auto" w:sz="4" w:space="0"/>
              <w:left w:val="nil"/>
              <w:bottom w:val="single" w:color="auto" w:sz="4" w:space="0"/>
              <w:right w:val="single" w:color="auto" w:sz="4" w:space="0"/>
            </w:tcBorders>
            <w:vAlign w:val="center"/>
          </w:tcPr>
          <w:p>
            <w:pPr>
              <w:spacing w:line="360" w:lineRule="auto"/>
              <w:rPr>
                <w:color w:val="auto"/>
                <w:highlight w:val="none"/>
              </w:rPr>
            </w:pPr>
            <w:r>
              <w:rPr>
                <w:rFonts w:hint="eastAsia"/>
                <w:color w:val="auto"/>
                <w:highlight w:val="none"/>
              </w:rPr>
              <w:t>★一、合同签订期：自成交</w:t>
            </w:r>
            <w:r>
              <w:rPr>
                <w:rFonts w:hint="eastAsia"/>
                <w:color w:val="auto"/>
                <w:highlight w:val="none"/>
                <w:lang w:val="en-US" w:eastAsia="zh-CN"/>
              </w:rPr>
              <w:t>公告</w:t>
            </w:r>
            <w:r>
              <w:rPr>
                <w:rFonts w:hint="eastAsia"/>
                <w:color w:val="auto"/>
                <w:highlight w:val="none"/>
              </w:rPr>
              <w:t>发出之日起7个工作日内</w:t>
            </w:r>
          </w:p>
          <w:p>
            <w:pPr>
              <w:spacing w:line="360" w:lineRule="auto"/>
              <w:rPr>
                <w:color w:val="auto"/>
                <w:highlight w:val="none"/>
              </w:rPr>
            </w:pPr>
            <w:r>
              <w:rPr>
                <w:rFonts w:hint="eastAsia"/>
                <w:color w:val="auto"/>
                <w:highlight w:val="none"/>
              </w:rPr>
              <w:t>★</w:t>
            </w:r>
            <w:r>
              <w:rPr>
                <w:rFonts w:hint="eastAsia"/>
                <w:color w:val="auto"/>
                <w:highlight w:val="none"/>
              </w:rPr>
              <w:t>二、提交服务成果时间：</w:t>
            </w:r>
            <w:r>
              <w:rPr>
                <w:rFonts w:hint="eastAsia"/>
                <w:color w:val="auto"/>
                <w:highlight w:val="none"/>
                <w:lang w:val="en-US" w:eastAsia="zh-CN"/>
              </w:rPr>
              <w:t>补充采购的服务成果需在中标签约后10</w:t>
            </w:r>
            <w:r>
              <w:rPr>
                <w:rFonts w:hint="eastAsia"/>
                <w:color w:val="auto"/>
                <w:highlight w:val="none"/>
              </w:rPr>
              <w:t>天内</w:t>
            </w:r>
            <w:r>
              <w:rPr>
                <w:rFonts w:hint="eastAsia"/>
                <w:color w:val="auto"/>
                <w:highlight w:val="none"/>
                <w:lang w:val="en-US" w:eastAsia="zh-CN"/>
              </w:rPr>
              <w:t>提交</w:t>
            </w:r>
            <w:r>
              <w:rPr>
                <w:rFonts w:hint="eastAsia"/>
                <w:color w:val="auto"/>
                <w:highlight w:val="none"/>
              </w:rPr>
              <w:t>；</w:t>
            </w:r>
          </w:p>
          <w:p>
            <w:pPr>
              <w:spacing w:line="360" w:lineRule="auto"/>
              <w:rPr>
                <w:color w:val="auto"/>
                <w:highlight w:val="none"/>
              </w:rPr>
            </w:pPr>
            <w:r>
              <w:rPr>
                <w:rFonts w:hint="eastAsia"/>
                <w:color w:val="auto"/>
                <w:highlight w:val="none"/>
              </w:rPr>
              <w:t>三、提交服务成果地点：南宁市内，具体由业主指定。</w:t>
            </w:r>
          </w:p>
          <w:p>
            <w:pPr>
              <w:spacing w:line="360" w:lineRule="auto"/>
              <w:rPr>
                <w:color w:val="auto"/>
                <w:highlight w:val="none"/>
              </w:rPr>
            </w:pPr>
            <w:r>
              <w:rPr>
                <w:rFonts w:hint="eastAsia"/>
                <w:color w:val="auto"/>
                <w:highlight w:val="none"/>
              </w:rPr>
              <w:t>四、售后服务要求：</w:t>
            </w:r>
          </w:p>
          <w:p>
            <w:pPr>
              <w:spacing w:line="360" w:lineRule="auto"/>
              <w:rPr>
                <w:color w:val="auto"/>
                <w:highlight w:val="none"/>
              </w:rPr>
            </w:pPr>
            <w:r>
              <w:rPr>
                <w:rFonts w:hint="eastAsia"/>
                <w:color w:val="auto"/>
                <w:highlight w:val="none"/>
              </w:rPr>
              <w:t>★1.质量保证期1年（自提交服务成果并验收合格之日起计）。</w:t>
            </w:r>
          </w:p>
          <w:p>
            <w:pPr>
              <w:spacing w:line="360" w:lineRule="auto"/>
              <w:rPr>
                <w:color w:val="auto"/>
                <w:highlight w:val="none"/>
              </w:rPr>
            </w:pPr>
            <w:r>
              <w:rPr>
                <w:rFonts w:hint="eastAsia"/>
                <w:color w:val="auto"/>
                <w:highlight w:val="none"/>
              </w:rPr>
              <w:t>2.处理问题响应时间：接到采购人处理问题通知后2小时内到达采购人指定现场。</w:t>
            </w:r>
          </w:p>
          <w:p>
            <w:pPr>
              <w:spacing w:line="360" w:lineRule="auto"/>
              <w:rPr>
                <w:color w:val="auto"/>
                <w:highlight w:val="none"/>
              </w:rPr>
            </w:pPr>
            <w:r>
              <w:rPr>
                <w:rFonts w:hint="eastAsia"/>
                <w:color w:val="auto"/>
                <w:highlight w:val="none"/>
              </w:rPr>
              <w:t>3.其他：根据评审会、工作对接会、协调会等意见相应修改完善设计内容。</w:t>
            </w:r>
          </w:p>
          <w:p>
            <w:pPr>
              <w:spacing w:line="360" w:lineRule="auto"/>
              <w:rPr>
                <w:color w:val="auto"/>
                <w:highlight w:val="none"/>
              </w:rPr>
            </w:pPr>
            <w:r>
              <w:rPr>
                <w:rFonts w:hint="eastAsia"/>
                <w:color w:val="auto"/>
                <w:highlight w:val="none"/>
              </w:rPr>
              <w:t>★五、其他要求：</w:t>
            </w:r>
          </w:p>
          <w:p>
            <w:pPr>
              <w:spacing w:line="360" w:lineRule="auto"/>
              <w:rPr>
                <w:color w:val="auto"/>
                <w:highlight w:val="none"/>
              </w:rPr>
            </w:pPr>
            <w:r>
              <w:rPr>
                <w:rFonts w:hint="eastAsia"/>
                <w:color w:val="auto"/>
                <w:highlight w:val="none"/>
              </w:rPr>
              <w:t>1.报价必须含以下部分，包括：</w:t>
            </w:r>
          </w:p>
          <w:p>
            <w:pPr>
              <w:spacing w:line="360" w:lineRule="auto"/>
              <w:rPr>
                <w:color w:val="auto"/>
                <w:highlight w:val="none"/>
              </w:rPr>
            </w:pPr>
            <w:r>
              <w:rPr>
                <w:rFonts w:hint="eastAsia"/>
                <w:color w:val="auto"/>
                <w:highlight w:val="none"/>
              </w:rPr>
              <w:t>（1）服务的价格。</w:t>
            </w:r>
          </w:p>
          <w:p>
            <w:pPr>
              <w:spacing w:line="360" w:lineRule="auto"/>
              <w:rPr>
                <w:color w:val="auto"/>
                <w:highlight w:val="none"/>
              </w:rPr>
            </w:pPr>
            <w:r>
              <w:rPr>
                <w:rFonts w:hint="eastAsia"/>
                <w:color w:val="auto"/>
                <w:highlight w:val="none"/>
              </w:rPr>
              <w:t>（2）有必要的保险费用和各项税金。</w:t>
            </w:r>
          </w:p>
          <w:p>
            <w:pPr>
              <w:spacing w:line="360" w:lineRule="auto"/>
              <w:rPr>
                <w:color w:val="auto"/>
                <w:highlight w:val="none"/>
              </w:rPr>
            </w:pPr>
            <w:r>
              <w:rPr>
                <w:rFonts w:hint="eastAsia"/>
                <w:color w:val="auto"/>
                <w:highlight w:val="none"/>
              </w:rPr>
              <w:t>（3）该项目所产生的代理服务费。</w:t>
            </w:r>
          </w:p>
          <w:p>
            <w:pPr>
              <w:spacing w:line="420" w:lineRule="exact"/>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2.根据《政府采购货物和服务招标投标管理办法》（财政部令第87号）第六十条规定，若投标投标人的报价明显低于其他报价，使得其报价可能低于其成本的，评标委员会将要求投标投标人做出书面说明并提供相关的证明材料。投标人不能合理说明或不能提供相关证明材料的，由评标委员会认定该投标投标人低于成本报价，其应作无效投标处理。</w:t>
            </w:r>
          </w:p>
          <w:p>
            <w:pPr>
              <w:spacing w:line="420" w:lineRule="exact"/>
              <w:rPr>
                <w:rFonts w:ascii="宋体" w:hAnsi="宋体"/>
                <w:color w:val="auto"/>
                <w:szCs w:val="21"/>
                <w:highlight w:val="none"/>
                <w:shd w:val="clear" w:color="auto" w:fill="FFFFFF"/>
              </w:rPr>
            </w:pPr>
            <w:r>
              <w:rPr>
                <w:rFonts w:ascii="宋体" w:hAnsi="宋体"/>
                <w:color w:val="auto"/>
                <w:szCs w:val="21"/>
                <w:highlight w:val="none"/>
                <w:shd w:val="clear" w:color="auto" w:fill="FFFFFF"/>
              </w:rPr>
              <w:t>3</w:t>
            </w:r>
            <w:r>
              <w:rPr>
                <w:rFonts w:hint="eastAsia" w:ascii="宋体" w:hAnsi="宋体"/>
                <w:color w:val="auto"/>
                <w:szCs w:val="21"/>
                <w:highlight w:val="none"/>
                <w:shd w:val="clear" w:color="auto" w:fill="FFFFFF"/>
              </w:rPr>
              <w:t>.</w:t>
            </w:r>
            <w:r>
              <w:rPr>
                <w:rFonts w:hint="eastAsia" w:ascii="宋体" w:hAnsi="宋体"/>
                <w:color w:val="auto"/>
                <w:szCs w:val="21"/>
                <w:highlight w:val="none"/>
              </w:rPr>
              <w:t>本项目投标报价包含完成上述服务内容所需的费用（包括调研、编制等）。如提供服务过程中产生额外费用，由中标人自行负责。</w:t>
            </w:r>
          </w:p>
          <w:p>
            <w:pPr>
              <w:spacing w:line="420" w:lineRule="exact"/>
              <w:rPr>
                <w:rFonts w:ascii="宋体" w:hAnsi="宋体"/>
                <w:color w:val="auto"/>
                <w:szCs w:val="21"/>
                <w:highlight w:val="none"/>
                <w:shd w:val="clear" w:color="auto" w:fill="FFFFFF"/>
              </w:rPr>
            </w:pPr>
            <w:r>
              <w:rPr>
                <w:rFonts w:ascii="宋体" w:hAnsi="宋体"/>
                <w:color w:val="auto"/>
                <w:szCs w:val="21"/>
                <w:highlight w:val="none"/>
                <w:shd w:val="clear" w:color="auto" w:fill="FFFFFF"/>
              </w:rPr>
              <w:t>4</w:t>
            </w:r>
            <w:r>
              <w:rPr>
                <w:rFonts w:hint="eastAsia" w:ascii="宋体" w:hAnsi="宋体"/>
                <w:color w:val="auto"/>
                <w:szCs w:val="21"/>
                <w:highlight w:val="none"/>
                <w:shd w:val="clear" w:color="auto" w:fill="FFFFFF"/>
              </w:rPr>
              <w:t>.中标人必须配合采购人向评审机构和审批部门等相关部门进行项目申报、评审等相关工作。</w:t>
            </w:r>
          </w:p>
          <w:p>
            <w:pPr>
              <w:spacing w:line="420" w:lineRule="exact"/>
              <w:rPr>
                <w:rFonts w:ascii="宋体" w:hAnsi="宋体"/>
                <w:color w:val="auto"/>
                <w:szCs w:val="21"/>
                <w:highlight w:val="none"/>
                <w:shd w:val="clear" w:color="auto" w:fill="FFFFFF"/>
              </w:rPr>
            </w:pPr>
            <w:r>
              <w:rPr>
                <w:rFonts w:ascii="宋体" w:hAnsi="宋体"/>
                <w:color w:val="auto"/>
                <w:szCs w:val="21"/>
                <w:highlight w:val="none"/>
                <w:shd w:val="clear" w:color="auto" w:fill="FFFFFF"/>
              </w:rPr>
              <w:t>6</w:t>
            </w:r>
            <w:r>
              <w:rPr>
                <w:rFonts w:hint="eastAsia" w:ascii="宋体" w:hAnsi="宋体"/>
                <w:color w:val="auto"/>
                <w:szCs w:val="21"/>
                <w:highlight w:val="none"/>
                <w:shd w:val="clear" w:color="auto" w:fill="FFFFFF"/>
              </w:rPr>
              <w:t>.项目设计阶段，中标人必须在南宁市内安排有常驻设计人员开展项目调研、设计等服务，直到本次设计服务验收合格。</w:t>
            </w:r>
          </w:p>
          <w:p>
            <w:pPr>
              <w:spacing w:line="420" w:lineRule="exact"/>
              <w:rPr>
                <w:rFonts w:ascii="宋体" w:hAnsi="宋体"/>
                <w:color w:val="auto"/>
                <w:szCs w:val="21"/>
                <w:highlight w:val="none"/>
                <w:shd w:val="clear" w:color="auto" w:fill="FFFFFF"/>
              </w:rPr>
            </w:pPr>
            <w:r>
              <w:rPr>
                <w:rFonts w:ascii="宋体" w:hAnsi="宋体"/>
                <w:color w:val="auto"/>
                <w:szCs w:val="21"/>
                <w:highlight w:val="none"/>
                <w:shd w:val="clear" w:color="auto" w:fill="FFFFFF"/>
              </w:rPr>
              <w:t>7</w:t>
            </w:r>
            <w:r>
              <w:rPr>
                <w:rFonts w:hint="eastAsia" w:ascii="宋体" w:hAnsi="宋体"/>
                <w:color w:val="auto"/>
                <w:szCs w:val="21"/>
                <w:highlight w:val="none"/>
                <w:shd w:val="clear" w:color="auto" w:fill="FFFFFF"/>
              </w:rPr>
              <w:t>.项目建设实施阶段，中标人必须安排有设计人员，对系统建设项目整体实施进行指导工作，直到项目完成终验。</w:t>
            </w:r>
          </w:p>
          <w:p>
            <w:pPr>
              <w:spacing w:line="420" w:lineRule="exact"/>
              <w:rPr>
                <w:rFonts w:ascii="宋体" w:hAnsi="宋体"/>
                <w:color w:val="auto"/>
                <w:szCs w:val="21"/>
                <w:highlight w:val="none"/>
                <w:shd w:val="clear" w:color="auto" w:fill="FFFFFF"/>
              </w:rPr>
            </w:pPr>
            <w:r>
              <w:rPr>
                <w:rFonts w:ascii="宋体" w:hAnsi="宋体"/>
                <w:color w:val="auto"/>
                <w:szCs w:val="21"/>
                <w:highlight w:val="none"/>
                <w:shd w:val="clear" w:color="auto" w:fill="FFFFFF"/>
              </w:rPr>
              <w:t>8</w:t>
            </w:r>
            <w:r>
              <w:rPr>
                <w:rFonts w:hint="eastAsia" w:ascii="宋体" w:hAnsi="宋体"/>
                <w:color w:val="auto"/>
                <w:szCs w:val="21"/>
                <w:highlight w:val="none"/>
                <w:shd w:val="clear" w:color="auto" w:fill="FFFFFF"/>
              </w:rPr>
              <w:t>.付款方式：本项目分批次付款，中标人和采购人签订合同后，采购人向中标人支付中标金额的</w:t>
            </w:r>
            <w:r>
              <w:rPr>
                <w:rFonts w:hint="eastAsia" w:ascii="宋体" w:hAnsi="宋体"/>
                <w:color w:val="auto"/>
                <w:szCs w:val="21"/>
                <w:highlight w:val="none"/>
                <w:shd w:val="clear" w:color="auto" w:fill="FFFFFF"/>
                <w:lang w:val="en-US" w:eastAsia="zh-CN"/>
              </w:rPr>
              <w:t>3</w:t>
            </w:r>
            <w:r>
              <w:rPr>
                <w:rFonts w:hint="eastAsia" w:ascii="宋体" w:hAnsi="宋体"/>
                <w:color w:val="auto"/>
                <w:szCs w:val="21"/>
                <w:highlight w:val="none"/>
                <w:shd w:val="clear" w:color="auto" w:fill="FFFFFF"/>
              </w:rPr>
              <w:t>0%；项目设计方案通过评审机构评审或建设单位验收后，采购人向中标人支付余款中标金额的</w:t>
            </w:r>
            <w:r>
              <w:rPr>
                <w:rFonts w:hint="eastAsia" w:ascii="宋体" w:hAnsi="宋体"/>
                <w:color w:val="auto"/>
                <w:szCs w:val="21"/>
                <w:highlight w:val="none"/>
                <w:shd w:val="clear" w:color="auto" w:fill="FFFFFF"/>
                <w:lang w:val="en-US" w:eastAsia="zh-CN"/>
              </w:rPr>
              <w:t>7</w:t>
            </w:r>
            <w:r>
              <w:rPr>
                <w:rFonts w:hint="eastAsia" w:ascii="宋体" w:hAnsi="宋体"/>
                <w:color w:val="auto"/>
                <w:szCs w:val="21"/>
                <w:highlight w:val="none"/>
                <w:shd w:val="clear" w:color="auto" w:fill="FFFFFF"/>
              </w:rPr>
              <w:t>0%。</w:t>
            </w:r>
          </w:p>
          <w:p>
            <w:pPr>
              <w:widowControl/>
              <w:shd w:val="clear" w:color="auto" w:fill="FFFFFF"/>
              <w:spacing w:line="420" w:lineRule="exact"/>
              <w:rPr>
                <w:rFonts w:ascii="宋体" w:hAnsi="宋体"/>
                <w:color w:val="auto"/>
                <w:szCs w:val="21"/>
                <w:highlight w:val="none"/>
                <w:shd w:val="clear" w:color="auto" w:fill="FFFFFF"/>
              </w:rPr>
            </w:pPr>
            <w:r>
              <w:rPr>
                <w:rFonts w:ascii="宋体" w:hAnsi="宋体"/>
                <w:color w:val="auto"/>
                <w:szCs w:val="21"/>
                <w:highlight w:val="none"/>
                <w:shd w:val="clear" w:color="auto" w:fill="FFFFFF"/>
              </w:rPr>
              <w:t>9</w:t>
            </w:r>
            <w:r>
              <w:rPr>
                <w:rFonts w:hint="eastAsia" w:ascii="宋体" w:hAnsi="宋体"/>
                <w:color w:val="auto"/>
                <w:szCs w:val="21"/>
                <w:highlight w:val="none"/>
                <w:shd w:val="clear" w:color="auto" w:fill="FFFFFF"/>
              </w:rPr>
              <w:t>.中标人不得以任何形式向与本项目无关的其他单位或人员提供询价文件及所附的有关资料,如违反,必须赔偿甲方的所有损失，且甲方保留追究法律责任的权力。</w:t>
            </w:r>
          </w:p>
          <w:p>
            <w:pPr>
              <w:widowControl/>
              <w:shd w:val="clear" w:color="auto" w:fill="FFFFFF"/>
              <w:spacing w:line="420" w:lineRule="exact"/>
              <w:rPr>
                <w:rFonts w:ascii="宋体" w:hAnsi="宋体"/>
                <w:color w:val="auto"/>
                <w:szCs w:val="21"/>
                <w:highlight w:val="none"/>
                <w:shd w:val="clear" w:color="auto" w:fill="FFFFFF"/>
              </w:rPr>
            </w:pPr>
            <w:r>
              <w:rPr>
                <w:rFonts w:ascii="宋体" w:hAnsi="宋体"/>
                <w:color w:val="auto"/>
                <w:szCs w:val="21"/>
                <w:highlight w:val="none"/>
                <w:shd w:val="clear" w:color="auto" w:fill="FFFFFF"/>
              </w:rPr>
              <w:t>10</w:t>
            </w:r>
            <w:r>
              <w:rPr>
                <w:rFonts w:hint="eastAsia" w:ascii="宋体" w:hAnsi="宋体"/>
                <w:color w:val="auto"/>
                <w:szCs w:val="21"/>
                <w:highlight w:val="none"/>
                <w:shd w:val="clear" w:color="auto" w:fill="FFFFFF"/>
              </w:rPr>
              <w:t>.中标方不得承担本项目工程建设的系统集成及相关实施工作。</w:t>
            </w:r>
          </w:p>
          <w:p>
            <w:pPr>
              <w:spacing w:line="360" w:lineRule="auto"/>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1</w:t>
            </w:r>
            <w:r>
              <w:rPr>
                <w:rFonts w:ascii="宋体" w:hAnsi="宋体"/>
                <w:color w:val="auto"/>
                <w:szCs w:val="21"/>
                <w:highlight w:val="none"/>
                <w:shd w:val="clear" w:color="auto" w:fill="FFFFFF"/>
              </w:rPr>
              <w:t>1</w:t>
            </w:r>
            <w:r>
              <w:rPr>
                <w:rFonts w:hint="eastAsia" w:ascii="宋体" w:hAnsi="宋体"/>
                <w:color w:val="auto"/>
                <w:szCs w:val="21"/>
                <w:highlight w:val="none"/>
                <w:shd w:val="clear" w:color="auto" w:fill="FFFFFF"/>
              </w:rPr>
              <w:t>.本项目成果及其相关知识产权权利归甲方所有。</w:t>
            </w:r>
          </w:p>
        </w:tc>
      </w:tr>
    </w:tbl>
    <w:p>
      <w:pPr>
        <w:widowControl/>
        <w:spacing w:line="360" w:lineRule="auto"/>
        <w:ind w:firstLine="420" w:firstLineChars="200"/>
        <w:jc w:val="left"/>
        <w:rPr>
          <w:rFonts w:ascii="宋体" w:hAnsi="宋体" w:eastAsiaTheme="minorEastAsia"/>
          <w:color w:val="auto"/>
          <w:szCs w:val="21"/>
          <w:highlight w:val="none"/>
        </w:rPr>
      </w:pPr>
    </w:p>
    <w:p>
      <w:pPr>
        <w:spacing w:line="360" w:lineRule="auto"/>
        <w:ind w:right="218" w:rightChars="104" w:firstLine="420" w:firstLineChars="200"/>
        <w:jc w:val="right"/>
        <w:rPr>
          <w:rFonts w:ascii="Arial" w:hAnsi="Arial" w:cs="Arial"/>
          <w:color w:val="auto"/>
          <w:kern w:val="0"/>
          <w:szCs w:val="21"/>
          <w:highlight w:val="none"/>
        </w:rPr>
      </w:pPr>
      <w:r>
        <w:rPr>
          <w:rFonts w:hint="eastAsia" w:ascii="宋体" w:hAnsi="宋体" w:cs="Arial"/>
          <w:color w:val="auto"/>
          <w:kern w:val="0"/>
          <w:szCs w:val="21"/>
          <w:highlight w:val="none"/>
        </w:rPr>
        <w:t xml:space="preserve">                                        </w:t>
      </w:r>
      <w:r>
        <w:rPr>
          <w:rFonts w:ascii="宋体" w:hAnsi="宋体" w:cs="Arial"/>
          <w:color w:val="auto"/>
          <w:kern w:val="0"/>
          <w:szCs w:val="21"/>
          <w:highlight w:val="none"/>
        </w:rPr>
        <w:t xml:space="preserve"> </w:t>
      </w:r>
      <w:r>
        <w:rPr>
          <w:rFonts w:hint="eastAsia" w:ascii="宋体" w:hAnsi="宋体" w:cs="Arial"/>
          <w:color w:val="auto"/>
          <w:kern w:val="0"/>
          <w:szCs w:val="21"/>
          <w:highlight w:val="none"/>
        </w:rPr>
        <w:t>采购人（公章）：</w:t>
      </w:r>
      <w:r>
        <w:rPr>
          <w:rFonts w:hint="eastAsia" w:ascii="Arial" w:hAnsi="Arial" w:cs="Arial"/>
          <w:color w:val="auto"/>
          <w:kern w:val="0"/>
          <w:szCs w:val="21"/>
          <w:highlight w:val="none"/>
          <w:u w:val="none"/>
          <w:lang w:val="en-US" w:eastAsia="zh-CN"/>
        </w:rPr>
        <w:t>广西南博国际信息有限公司</w:t>
      </w:r>
    </w:p>
    <w:p>
      <w:pPr>
        <w:shd w:val="clear"/>
        <w:spacing w:line="360" w:lineRule="auto"/>
        <w:ind w:firstLine="420" w:firstLineChars="200"/>
        <w:rPr>
          <w:color w:val="auto"/>
          <w:szCs w:val="21"/>
          <w:highlight w:val="none"/>
        </w:rPr>
      </w:pPr>
      <w:r>
        <w:rPr>
          <w:rFonts w:ascii="Arial" w:hAnsi="Arial" w:cs="Arial"/>
          <w:color w:val="auto"/>
          <w:kern w:val="0"/>
          <w:szCs w:val="21"/>
          <w:highlight w:val="none"/>
        </w:rPr>
        <w:t xml:space="preserve">                                                           </w:t>
      </w:r>
      <w:r>
        <w:rPr>
          <w:rFonts w:hint="eastAsia" w:ascii="Arial" w:hAnsi="Arial" w:cs="Arial"/>
          <w:color w:val="auto"/>
          <w:kern w:val="0"/>
          <w:szCs w:val="21"/>
          <w:highlight w:val="none"/>
          <w:lang w:val="en-US" w:eastAsia="zh-CN"/>
        </w:rPr>
        <w:t xml:space="preserve"> </w:t>
      </w:r>
      <w:r>
        <w:rPr>
          <w:rFonts w:ascii="Arial" w:hAnsi="Arial" w:cs="Arial"/>
          <w:color w:val="auto"/>
          <w:kern w:val="0"/>
          <w:szCs w:val="21"/>
          <w:highlight w:val="none"/>
        </w:rPr>
        <w:t xml:space="preserve">  </w:t>
      </w:r>
      <w:r>
        <w:rPr>
          <w:rFonts w:hint="eastAsia" w:ascii="Arial" w:hAnsi="Arial" w:cs="Arial"/>
          <w:color w:val="auto"/>
          <w:kern w:val="0"/>
          <w:szCs w:val="21"/>
          <w:highlight w:val="none"/>
          <w:lang w:val="en-US" w:eastAsia="zh-CN"/>
        </w:rPr>
        <w:t xml:space="preserve">  2021</w:t>
      </w:r>
      <w:r>
        <w:rPr>
          <w:rFonts w:hint="eastAsia" w:ascii="宋体" w:hAnsi="宋体" w:cs="Arial"/>
          <w:color w:val="auto"/>
          <w:kern w:val="0"/>
          <w:szCs w:val="21"/>
          <w:highlight w:val="none"/>
        </w:rPr>
        <w:t>年</w:t>
      </w:r>
      <w:r>
        <w:rPr>
          <w:rFonts w:hint="eastAsia" w:ascii="Arial" w:hAnsi="Arial" w:cs="Arial"/>
          <w:color w:val="auto"/>
          <w:kern w:val="0"/>
          <w:szCs w:val="21"/>
          <w:highlight w:val="none"/>
          <w:lang w:val="en-US" w:eastAsia="zh-CN"/>
        </w:rPr>
        <w:t>9</w:t>
      </w:r>
      <w:r>
        <w:rPr>
          <w:rFonts w:hint="eastAsia" w:ascii="宋体" w:hAnsi="宋体" w:cs="Arial"/>
          <w:color w:val="auto"/>
          <w:kern w:val="0"/>
          <w:szCs w:val="21"/>
          <w:highlight w:val="none"/>
        </w:rPr>
        <w:t>月</w:t>
      </w:r>
      <w:r>
        <w:rPr>
          <w:rFonts w:hint="eastAsia" w:ascii="Arial" w:hAnsi="Arial" w:cs="Arial"/>
          <w:color w:val="auto"/>
          <w:kern w:val="0"/>
          <w:szCs w:val="21"/>
          <w:highlight w:val="none"/>
          <w:lang w:val="en-US" w:eastAsia="zh-CN"/>
        </w:rPr>
        <w:t>17</w:t>
      </w:r>
      <w:r>
        <w:rPr>
          <w:rFonts w:hint="eastAsia" w:ascii="宋体" w:hAnsi="宋体" w:cs="Arial"/>
          <w:color w:val="auto"/>
          <w:kern w:val="0"/>
          <w:szCs w:val="21"/>
          <w:highlight w:val="none"/>
        </w:rPr>
        <w:t>日</w:t>
      </w:r>
    </w:p>
    <w:p>
      <w:pPr>
        <w:spacing w:line="360" w:lineRule="auto"/>
        <w:ind w:firstLine="420" w:firstLineChars="200"/>
        <w:rPr>
          <w:color w:val="auto"/>
          <w:szCs w:val="21"/>
          <w:highlight w:val="none"/>
        </w:rPr>
      </w:pPr>
    </w:p>
    <w:p>
      <w:pPr>
        <w:pStyle w:val="10"/>
        <w:widowControl/>
        <w:jc w:val="left"/>
        <w:rPr>
          <w:rFonts w:ascii="宋体" w:hAnsi="宋体" w:eastAsiaTheme="minorEastAsia"/>
          <w:b/>
          <w:color w:val="auto"/>
          <w:sz w:val="32"/>
          <w:szCs w:val="32"/>
          <w:highlight w:val="none"/>
        </w:rPr>
      </w:pPr>
    </w:p>
    <w:p>
      <w:pPr>
        <w:pStyle w:val="12"/>
        <w:spacing w:line="420" w:lineRule="exact"/>
        <w:outlineLvl w:val="0"/>
        <w:rPr>
          <w:b/>
          <w:bCs/>
          <w:color w:val="auto"/>
          <w:highlight w:val="none"/>
        </w:rPr>
      </w:pPr>
      <w:r>
        <w:rPr>
          <w:rFonts w:hAnsi="宋体" w:eastAsiaTheme="minorEastAsia"/>
          <w:color w:val="auto"/>
          <w:highlight w:val="none"/>
        </w:rPr>
        <w:br w:type="page"/>
      </w:r>
      <w:r>
        <w:rPr>
          <w:rFonts w:hint="eastAsia" w:hAnsi="宋体" w:cs="宋体"/>
          <w:color w:val="auto"/>
          <w:highlight w:val="none"/>
        </w:rPr>
        <w:t>三、</w:t>
      </w:r>
      <w:r>
        <w:rPr>
          <w:rFonts w:hint="eastAsia"/>
          <w:b/>
          <w:bCs/>
          <w:color w:val="auto"/>
          <w:highlight w:val="none"/>
        </w:rPr>
        <w:t>评审方法及评审标准</w:t>
      </w:r>
    </w:p>
    <w:p>
      <w:pPr>
        <w:spacing w:line="410" w:lineRule="exact"/>
        <w:rPr>
          <w:rFonts w:ascii="宋体" w:hAnsi="宋体"/>
          <w:b/>
          <w:bCs/>
          <w:color w:val="auto"/>
          <w:kern w:val="0"/>
          <w:szCs w:val="21"/>
          <w:highlight w:val="none"/>
        </w:rPr>
      </w:pPr>
      <w:bookmarkStart w:id="1" w:name="_Hlk69111820"/>
      <w:r>
        <w:rPr>
          <w:rFonts w:hint="eastAsia" w:ascii="宋体" w:hAnsi="宋体"/>
          <w:b/>
          <w:bCs/>
          <w:color w:val="auto"/>
          <w:kern w:val="0"/>
          <w:szCs w:val="21"/>
          <w:highlight w:val="none"/>
        </w:rPr>
        <w:t>（一）评标原则</w:t>
      </w:r>
    </w:p>
    <w:p>
      <w:pPr>
        <w:spacing w:line="410" w:lineRule="exact"/>
        <w:ind w:firstLine="420" w:firstLineChars="200"/>
        <w:rPr>
          <w:rFonts w:ascii="宋体" w:hAnsi="宋体"/>
          <w:bCs/>
          <w:color w:val="auto"/>
          <w:kern w:val="0"/>
          <w:szCs w:val="21"/>
          <w:highlight w:val="none"/>
        </w:rPr>
      </w:pPr>
      <w:r>
        <w:rPr>
          <w:rFonts w:hint="eastAsia" w:ascii="宋体" w:hAnsi="宋体"/>
          <w:bCs/>
          <w:color w:val="auto"/>
          <w:kern w:val="0"/>
          <w:szCs w:val="21"/>
          <w:highlight w:val="none"/>
        </w:rPr>
        <w:t>评委构成：本招标采购项目的评委分别由依法组成的评审专家、采购人代表单数构成，其中专家人数不少于成员总数的三分之二。</w:t>
      </w:r>
    </w:p>
    <w:p>
      <w:pPr>
        <w:spacing w:line="410" w:lineRule="exact"/>
        <w:ind w:firstLine="420" w:firstLineChars="200"/>
        <w:rPr>
          <w:rFonts w:ascii="宋体" w:hAnsi="宋体"/>
          <w:bCs/>
          <w:color w:val="auto"/>
          <w:kern w:val="0"/>
          <w:szCs w:val="21"/>
          <w:highlight w:val="none"/>
        </w:rPr>
      </w:pPr>
      <w:r>
        <w:rPr>
          <w:rFonts w:hint="eastAsia" w:ascii="宋体" w:hAnsi="宋体"/>
          <w:bCs/>
          <w:color w:val="auto"/>
          <w:kern w:val="0"/>
          <w:szCs w:val="21"/>
          <w:highlight w:val="none"/>
        </w:rPr>
        <w:t>评标依据：评委将以招投标文件为评标依据，对竞标人的投标报价、服务方案、售后服务方案、业绩及信誉、政策功能等方面内容按百分制打分。</w:t>
      </w:r>
    </w:p>
    <w:p>
      <w:pPr>
        <w:spacing w:line="410" w:lineRule="exact"/>
        <w:ind w:firstLine="420" w:firstLineChars="200"/>
        <w:rPr>
          <w:rFonts w:ascii="宋体" w:hAnsi="宋体"/>
          <w:bCs/>
          <w:color w:val="auto"/>
          <w:kern w:val="0"/>
          <w:szCs w:val="21"/>
          <w:highlight w:val="none"/>
        </w:rPr>
      </w:pPr>
      <w:r>
        <w:rPr>
          <w:rFonts w:hint="eastAsia" w:ascii="宋体" w:hAnsi="宋体"/>
          <w:color w:val="auto"/>
          <w:kern w:val="0"/>
          <w:szCs w:val="21"/>
          <w:highlight w:val="none"/>
        </w:rPr>
        <w:t>评标方式：以封闭方式进行。</w:t>
      </w:r>
    </w:p>
    <w:p>
      <w:pPr>
        <w:spacing w:line="410" w:lineRule="exact"/>
        <w:rPr>
          <w:rFonts w:ascii="宋体" w:hAnsi="宋体"/>
          <w:b/>
          <w:bCs/>
          <w:color w:val="auto"/>
          <w:kern w:val="0"/>
          <w:szCs w:val="21"/>
          <w:highlight w:val="none"/>
        </w:rPr>
      </w:pPr>
      <w:r>
        <w:rPr>
          <w:rFonts w:hint="eastAsia" w:ascii="宋体" w:hAnsi="宋体"/>
          <w:b/>
          <w:bCs/>
          <w:color w:val="auto"/>
          <w:kern w:val="0"/>
          <w:szCs w:val="21"/>
          <w:highlight w:val="none"/>
        </w:rPr>
        <w:t>（二）评定方法：</w:t>
      </w:r>
    </w:p>
    <w:p>
      <w:pPr>
        <w:spacing w:line="410" w:lineRule="exact"/>
        <w:ind w:firstLine="420" w:firstLineChars="200"/>
        <w:rPr>
          <w:rFonts w:ascii="宋体" w:hAnsi="宋体"/>
          <w:bCs/>
          <w:color w:val="auto"/>
          <w:kern w:val="0"/>
          <w:szCs w:val="21"/>
          <w:highlight w:val="none"/>
        </w:rPr>
      </w:pPr>
      <w:r>
        <w:rPr>
          <w:rFonts w:hint="eastAsia" w:ascii="宋体" w:hAnsi="宋体"/>
          <w:bCs/>
          <w:color w:val="auto"/>
          <w:kern w:val="0"/>
          <w:szCs w:val="21"/>
          <w:highlight w:val="none"/>
        </w:rPr>
        <w:t>对进入详评的，采用百分制综合评分法。</w:t>
      </w:r>
    </w:p>
    <w:p>
      <w:pPr>
        <w:spacing w:line="41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计分办法(按四舍五入取至百分位)：</w:t>
      </w:r>
    </w:p>
    <w:p>
      <w:pPr>
        <w:spacing w:line="396" w:lineRule="exact"/>
        <w:outlineLvl w:val="1"/>
        <w:rPr>
          <w:rFonts w:ascii="宋体" w:hAnsi="宋体"/>
          <w:b/>
          <w:color w:val="auto"/>
          <w:szCs w:val="21"/>
          <w:highlight w:val="none"/>
        </w:rPr>
      </w:pPr>
      <w:r>
        <w:rPr>
          <w:rFonts w:hint="eastAsia" w:ascii="宋体" w:hAnsi="宋体"/>
          <w:b/>
          <w:color w:val="auto"/>
          <w:szCs w:val="21"/>
          <w:highlight w:val="none"/>
        </w:rPr>
        <w:t>1、价格分………………………………………………………………………………………10分</w:t>
      </w:r>
    </w:p>
    <w:p>
      <w:pPr>
        <w:adjustRightInd w:val="0"/>
        <w:spacing w:line="380" w:lineRule="exact"/>
        <w:ind w:firstLine="315" w:firstLineChars="150"/>
        <w:contextualSpacing/>
        <w:rPr>
          <w:rFonts w:ascii="宋体" w:hAnsi="宋体" w:cs="宋体"/>
          <w:bCs/>
          <w:color w:val="auto"/>
          <w:kern w:val="0"/>
          <w:szCs w:val="21"/>
          <w:highlight w:val="none"/>
        </w:rPr>
      </w:pPr>
      <w:r>
        <w:rPr>
          <w:rFonts w:hint="eastAsia" w:ascii="宋体" w:hAnsi="宋体" w:cs="宋体"/>
          <w:bCs/>
          <w:color w:val="auto"/>
          <w:kern w:val="0"/>
          <w:szCs w:val="21"/>
          <w:highlight w:val="none"/>
        </w:rPr>
        <w:t>（1）以进入</w:t>
      </w:r>
      <w:r>
        <w:rPr>
          <w:rFonts w:hint="eastAsia" w:ascii="宋体" w:hAnsi="宋体"/>
          <w:color w:val="auto"/>
          <w:kern w:val="0"/>
          <w:szCs w:val="21"/>
          <w:highlight w:val="none"/>
        </w:rPr>
        <w:t>综合评分</w:t>
      </w:r>
      <w:r>
        <w:rPr>
          <w:rFonts w:hint="eastAsia" w:ascii="宋体" w:hAnsi="宋体" w:cs="宋体"/>
          <w:bCs/>
          <w:color w:val="auto"/>
          <w:kern w:val="0"/>
          <w:szCs w:val="21"/>
          <w:highlight w:val="none"/>
        </w:rPr>
        <w:t>的最低评标报价为10分。</w:t>
      </w:r>
    </w:p>
    <w:p>
      <w:pPr>
        <w:adjustRightInd w:val="0"/>
        <w:spacing w:line="380" w:lineRule="exact"/>
        <w:ind w:firstLine="315" w:firstLineChars="150"/>
        <w:contextualSpacing/>
        <w:rPr>
          <w:rFonts w:ascii="宋体" w:hAnsi="宋体" w:cs="宋体"/>
          <w:bCs/>
          <w:color w:val="auto"/>
          <w:kern w:val="0"/>
          <w:szCs w:val="21"/>
          <w:highlight w:val="none"/>
        </w:rPr>
      </w:pPr>
      <w:r>
        <w:rPr>
          <w:rFonts w:hint="eastAsia" w:ascii="宋体" w:hAnsi="宋体" w:cs="宋体"/>
          <w:bCs/>
          <w:color w:val="auto"/>
          <w:kern w:val="0"/>
          <w:szCs w:val="21"/>
          <w:highlight w:val="none"/>
        </w:rPr>
        <w:t>（2）按照《政府采购促进中小企业发展暂行办法</w:t>
      </w:r>
      <w:r>
        <w:rPr>
          <w:rFonts w:hint="eastAsia" w:ascii="宋体" w:hAnsi="宋体" w:cs="宋体"/>
          <w:color w:val="auto"/>
          <w:kern w:val="0"/>
          <w:szCs w:val="21"/>
          <w:highlight w:val="none"/>
        </w:rPr>
        <w:t>》（财库</w:t>
      </w:r>
      <w:r>
        <w:rPr>
          <w:rFonts w:hint="eastAsia" w:ascii="宋体" w:hAnsi="宋体"/>
          <w:color w:val="auto"/>
          <w:kern w:val="0"/>
          <w:szCs w:val="21"/>
          <w:highlight w:val="none"/>
        </w:rPr>
        <w:t>[2011]181</w:t>
      </w:r>
      <w:r>
        <w:rPr>
          <w:rFonts w:hint="eastAsia" w:ascii="宋体" w:hAnsi="宋体" w:cs="宋体"/>
          <w:color w:val="auto"/>
          <w:kern w:val="0"/>
          <w:szCs w:val="21"/>
          <w:highlight w:val="none"/>
        </w:rPr>
        <w:t>号），投标单位认定为小型和微型企业的（提供符合规定的有效声明函），并提供本企业制造的产品，由本企业承担工程、提供服务，或者提供其他小型、微型企业制造的产品的（不包括使用大型企业注册商标的产品），</w:t>
      </w:r>
      <w:r>
        <w:rPr>
          <w:rFonts w:hint="eastAsia" w:ascii="宋体" w:hAnsi="宋体" w:cs="宋体"/>
          <w:bCs/>
          <w:color w:val="auto"/>
          <w:kern w:val="0"/>
          <w:szCs w:val="21"/>
          <w:highlight w:val="none"/>
        </w:rPr>
        <w:t>对投标价给予</w:t>
      </w:r>
      <w:r>
        <w:rPr>
          <w:rFonts w:hint="eastAsia" w:ascii="宋体" w:hAnsi="宋体" w:cs="方正仿宋简体"/>
          <w:bCs/>
          <w:color w:val="auto"/>
          <w:kern w:val="0"/>
          <w:szCs w:val="21"/>
          <w:highlight w:val="none"/>
        </w:rPr>
        <w:t>10%</w:t>
      </w:r>
      <w:r>
        <w:rPr>
          <w:rFonts w:hint="eastAsia" w:ascii="宋体" w:hAnsi="宋体" w:cs="宋体"/>
          <w:bCs/>
          <w:color w:val="auto"/>
          <w:kern w:val="0"/>
          <w:szCs w:val="21"/>
          <w:highlight w:val="none"/>
        </w:rPr>
        <w:t>的扣除，扣除后的价格为评标报价，即评标报价</w:t>
      </w:r>
      <w:r>
        <w:rPr>
          <w:rFonts w:hint="eastAsia" w:ascii="宋体" w:hAnsi="宋体" w:cs="方正仿宋简体"/>
          <w:bCs/>
          <w:color w:val="auto"/>
          <w:kern w:val="0"/>
          <w:szCs w:val="21"/>
          <w:highlight w:val="none"/>
        </w:rPr>
        <w:t>=</w:t>
      </w:r>
      <w:r>
        <w:rPr>
          <w:rFonts w:hint="eastAsia" w:ascii="宋体" w:hAnsi="宋体" w:cs="宋体"/>
          <w:bCs/>
          <w:color w:val="auto"/>
          <w:kern w:val="0"/>
          <w:szCs w:val="21"/>
          <w:highlight w:val="none"/>
        </w:rPr>
        <w:t>投标价</w:t>
      </w:r>
      <w:r>
        <w:rPr>
          <w:rFonts w:ascii="宋体" w:hAnsi="宋体"/>
          <w:bCs/>
          <w:color w:val="auto"/>
          <w:kern w:val="0"/>
          <w:szCs w:val="21"/>
          <w:highlight w:val="none"/>
        </w:rPr>
        <w:t>×</w:t>
      </w:r>
      <w:r>
        <w:rPr>
          <w:rFonts w:hint="eastAsia" w:ascii="宋体" w:hAnsi="宋体" w:cs="宋体"/>
          <w:bCs/>
          <w:color w:val="auto"/>
          <w:kern w:val="0"/>
          <w:szCs w:val="21"/>
          <w:highlight w:val="none"/>
        </w:rPr>
        <w:t>（</w:t>
      </w:r>
      <w:r>
        <w:rPr>
          <w:rFonts w:hint="eastAsia" w:ascii="宋体" w:hAnsi="宋体" w:cs="方正仿宋简体"/>
          <w:bCs/>
          <w:color w:val="auto"/>
          <w:kern w:val="0"/>
          <w:szCs w:val="21"/>
          <w:highlight w:val="none"/>
        </w:rPr>
        <w:t>1-10%</w:t>
      </w:r>
      <w:r>
        <w:rPr>
          <w:rFonts w:hint="eastAsia" w:ascii="宋体" w:hAnsi="宋体" w:cs="宋体"/>
          <w:bCs/>
          <w:color w:val="auto"/>
          <w:kern w:val="0"/>
          <w:szCs w:val="21"/>
          <w:highlight w:val="none"/>
        </w:rPr>
        <w:t>）；除上述</w:t>
      </w:r>
      <w:r>
        <w:rPr>
          <w:rFonts w:hint="eastAsia" w:ascii="宋体" w:hAnsi="宋体" w:cs="宋体"/>
          <w:color w:val="auto"/>
          <w:kern w:val="0"/>
          <w:szCs w:val="21"/>
          <w:highlight w:val="none"/>
        </w:rPr>
        <w:t>情况外，评标报价</w:t>
      </w:r>
      <w:r>
        <w:rPr>
          <w:rFonts w:hint="eastAsia" w:ascii="宋体" w:hAnsi="宋体"/>
          <w:color w:val="auto"/>
          <w:kern w:val="0"/>
          <w:szCs w:val="21"/>
          <w:highlight w:val="none"/>
        </w:rPr>
        <w:t>=</w:t>
      </w:r>
      <w:r>
        <w:rPr>
          <w:rFonts w:hint="eastAsia" w:ascii="宋体" w:hAnsi="宋体" w:cs="宋体"/>
          <w:color w:val="auto"/>
          <w:kern w:val="0"/>
          <w:szCs w:val="21"/>
          <w:highlight w:val="none"/>
        </w:rPr>
        <w:t>投标价；</w:t>
      </w:r>
    </w:p>
    <w:p>
      <w:pPr>
        <w:spacing w:line="410" w:lineRule="exact"/>
        <w:ind w:firstLine="420" w:firstLineChars="200"/>
        <w:rPr>
          <w:rFonts w:ascii="宋体" w:hAnsi="宋体"/>
          <w:color w:val="auto"/>
          <w:szCs w:val="21"/>
          <w:highlight w:val="none"/>
        </w:rPr>
      </w:pPr>
      <w:r>
        <w:rPr>
          <w:rFonts w:hint="eastAsia" w:ascii="宋体" w:hAnsi="宋体"/>
          <w:color w:val="auto"/>
          <w:szCs w:val="21"/>
          <w:highlight w:val="none"/>
        </w:rPr>
        <w:t>投标产品提供企业按《关于政府采购支持监狱企业发展有关问题的通知》</w:t>
      </w:r>
      <w:r>
        <w:rPr>
          <w:rFonts w:ascii="宋体" w:hAnsi="宋体"/>
          <w:color w:val="auto"/>
          <w:szCs w:val="21"/>
          <w:highlight w:val="none"/>
        </w:rPr>
        <w:t>(</w:t>
      </w:r>
      <w:r>
        <w:rPr>
          <w:rFonts w:hint="eastAsia" w:ascii="宋体" w:hAnsi="宋体"/>
          <w:color w:val="auto"/>
          <w:szCs w:val="21"/>
          <w:highlight w:val="none"/>
        </w:rPr>
        <w:t>财库</w:t>
      </w:r>
      <w:r>
        <w:rPr>
          <w:rFonts w:ascii="宋体" w:hAnsi="宋体"/>
          <w:color w:val="auto"/>
          <w:szCs w:val="21"/>
          <w:highlight w:val="none"/>
        </w:rPr>
        <w:t>[2014]68</w:t>
      </w:r>
      <w:r>
        <w:rPr>
          <w:rFonts w:hint="eastAsia" w:ascii="宋体" w:hAnsi="宋体"/>
          <w:color w:val="auto"/>
          <w:szCs w:val="21"/>
          <w:highlight w:val="none"/>
        </w:rPr>
        <w:t>号</w:t>
      </w:r>
      <w:r>
        <w:rPr>
          <w:rFonts w:ascii="宋体" w:hAnsi="宋体"/>
          <w:color w:val="auto"/>
          <w:szCs w:val="21"/>
          <w:highlight w:val="none"/>
        </w:rPr>
        <w:t>)</w:t>
      </w:r>
      <w:r>
        <w:rPr>
          <w:rFonts w:hint="eastAsia" w:ascii="宋体" w:hAnsi="宋体"/>
          <w:color w:val="auto"/>
          <w:szCs w:val="21"/>
          <w:highlight w:val="none"/>
        </w:rPr>
        <w:t>认定为监狱企业的，在政府采购活动中，监狱企业视同小型、微型企业。监狱企业参加政府采购活动时，应当提供由省级以上监狱管理局、戒毒管理局（含新疆生产建设兵团）出具的属于监狱企业的证明文件；</w:t>
      </w:r>
    </w:p>
    <w:p>
      <w:pPr>
        <w:adjustRightInd w:val="0"/>
        <w:spacing w:line="380" w:lineRule="exact"/>
        <w:ind w:firstLine="420" w:firstLineChars="200"/>
        <w:contextualSpacing/>
        <w:rPr>
          <w:rFonts w:ascii="宋体" w:hAnsi="宋体" w:cs="宋体"/>
          <w:bCs/>
          <w:color w:val="auto"/>
          <w:kern w:val="0"/>
          <w:szCs w:val="21"/>
          <w:highlight w:val="none"/>
        </w:rPr>
      </w:pPr>
      <w:r>
        <w:rPr>
          <w:rFonts w:hint="eastAsia" w:ascii="宋体" w:hAnsi="宋体" w:cs="宋体"/>
          <w:bCs/>
          <w:color w:val="auto"/>
          <w:kern w:val="0"/>
          <w:szCs w:val="21"/>
          <w:highlight w:val="none"/>
        </w:rPr>
        <w:t>投标产品提供单位按《</w:t>
      </w:r>
      <w:r>
        <w:rPr>
          <w:rFonts w:ascii="宋体" w:hAnsi="宋体" w:cs="宋体"/>
          <w:bCs/>
          <w:color w:val="auto"/>
          <w:kern w:val="0"/>
          <w:szCs w:val="21"/>
          <w:highlight w:val="none"/>
        </w:rPr>
        <w:t>关于促进残疾人就业政府采购政策的通知</w:t>
      </w:r>
      <w:r>
        <w:rPr>
          <w:rFonts w:hint="eastAsia" w:ascii="宋体" w:hAnsi="宋体" w:cs="宋体"/>
          <w:bCs/>
          <w:color w:val="auto"/>
          <w:kern w:val="0"/>
          <w:szCs w:val="21"/>
          <w:highlight w:val="none"/>
        </w:rPr>
        <w:t>》</w:t>
      </w:r>
      <w:r>
        <w:rPr>
          <w:rFonts w:ascii="宋体" w:hAnsi="宋体" w:cs="宋体"/>
          <w:bCs/>
          <w:color w:val="auto"/>
          <w:kern w:val="0"/>
          <w:szCs w:val="21"/>
          <w:highlight w:val="none"/>
        </w:rPr>
        <w:t>(</w:t>
      </w:r>
      <w:r>
        <w:rPr>
          <w:rFonts w:hint="eastAsia" w:ascii="宋体" w:hAnsi="宋体" w:cs="宋体"/>
          <w:bCs/>
          <w:color w:val="auto"/>
          <w:kern w:val="0"/>
          <w:szCs w:val="21"/>
          <w:highlight w:val="none"/>
        </w:rPr>
        <w:t>财库〔2017〕141号</w:t>
      </w:r>
      <w:r>
        <w:rPr>
          <w:rFonts w:ascii="宋体" w:hAnsi="宋体" w:cs="宋体"/>
          <w:bCs/>
          <w:color w:val="auto"/>
          <w:kern w:val="0"/>
          <w:szCs w:val="21"/>
          <w:highlight w:val="none"/>
        </w:rPr>
        <w:t>)</w:t>
      </w:r>
      <w:r>
        <w:rPr>
          <w:rFonts w:hint="eastAsia" w:ascii="宋体" w:hAnsi="宋体" w:cs="宋体"/>
          <w:bCs/>
          <w:color w:val="auto"/>
          <w:kern w:val="0"/>
          <w:szCs w:val="21"/>
          <w:highlight w:val="none"/>
        </w:rPr>
        <w:t>认定为残疾人福利性单位的，在政府采购活动中，残疾人福利性单位视同小型、微型企业。符合条件的残疾人福利性单位在参加政府采购活动时，应当提供本通知规定的《残疾人福利性单位声明函》，并对声明的真实性负责。</w:t>
      </w:r>
    </w:p>
    <w:p>
      <w:pPr>
        <w:adjustRightInd w:val="0"/>
        <w:spacing w:line="380" w:lineRule="exact"/>
        <w:ind w:firstLine="420" w:firstLineChars="200"/>
        <w:contextualSpacing/>
        <w:rPr>
          <w:rFonts w:ascii="宋体" w:hAnsi="宋体" w:cs="宋体"/>
          <w:bCs/>
          <w:color w:val="auto"/>
          <w:kern w:val="0"/>
          <w:szCs w:val="21"/>
          <w:highlight w:val="none"/>
        </w:rPr>
      </w:pPr>
      <w:r>
        <w:rPr>
          <w:rFonts w:hint="eastAsia" w:ascii="宋体" w:hAnsi="宋体" w:cs="宋体"/>
          <w:bCs/>
          <w:color w:val="auto"/>
          <w:kern w:val="0"/>
          <w:szCs w:val="21"/>
          <w:highlight w:val="none"/>
        </w:rPr>
        <w:t>除上述情况外，评标报价=投标价。</w:t>
      </w:r>
    </w:p>
    <w:p>
      <w:pPr>
        <w:spacing w:line="360" w:lineRule="exact"/>
        <w:ind w:firstLine="289" w:firstLineChars="138"/>
        <w:rPr>
          <w:rFonts w:ascii="宋体" w:hAnsi="宋体" w:cs="Courier New"/>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Courier New"/>
          <w:bCs/>
          <w:color w:val="auto"/>
          <w:kern w:val="0"/>
          <w:szCs w:val="21"/>
          <w:highlight w:val="none"/>
        </w:rPr>
        <w:t>价格分计算公式：</w:t>
      </w:r>
    </w:p>
    <w:p>
      <w:pPr>
        <w:ind w:left="-134" w:leftChars="-64" w:firstLine="1890" w:firstLineChars="900"/>
        <w:jc w:val="left"/>
        <w:rPr>
          <w:rFonts w:ascii="宋体" w:hAnsi="宋体" w:cs="Courier New"/>
          <w:color w:val="auto"/>
          <w:szCs w:val="21"/>
          <w:highlight w:val="none"/>
        </w:rPr>
      </w:pPr>
      <w:r>
        <w:rPr>
          <w:rFonts w:hint="eastAsia" w:ascii="宋体" w:hAnsi="宋体" w:cs="Courier New"/>
          <w:color w:val="auto"/>
          <w:szCs w:val="21"/>
          <w:highlight w:val="none"/>
        </w:rPr>
        <w:t xml:space="preserve">某竞标人价格得分 ＝  </w:t>
      </w:r>
      <w:r>
        <w:rPr>
          <w:rFonts w:hint="eastAsia" w:ascii="宋体" w:hAnsi="宋体" w:cs="Courier New"/>
          <w:color w:val="auto"/>
          <w:szCs w:val="21"/>
          <w:highlight w:val="none"/>
        </w:rPr>
        <w:fldChar w:fldCharType="begin"/>
      </w:r>
      <w:r>
        <w:rPr>
          <w:rFonts w:hint="eastAsia" w:ascii="宋体" w:hAnsi="宋体" w:cs="Courier New"/>
          <w:color w:val="auto"/>
          <w:szCs w:val="21"/>
          <w:highlight w:val="none"/>
        </w:rPr>
        <w:instrText xml:space="preserve"> EQ \F(投标人最低评标价（金额）,某投标人评标价（金额）) </w:instrText>
      </w:r>
      <w:r>
        <w:rPr>
          <w:rFonts w:hint="eastAsia" w:ascii="宋体" w:hAnsi="宋体" w:cs="Courier New"/>
          <w:color w:val="auto"/>
          <w:szCs w:val="21"/>
          <w:highlight w:val="none"/>
        </w:rPr>
        <w:fldChar w:fldCharType="end"/>
      </w:r>
      <w:r>
        <w:rPr>
          <w:rFonts w:hint="eastAsia" w:ascii="宋体" w:hAnsi="宋体" w:cs="Courier New"/>
          <w:color w:val="auto"/>
          <w:szCs w:val="21"/>
          <w:highlight w:val="none"/>
        </w:rPr>
        <w:t>×1</w:t>
      </w:r>
      <w:r>
        <w:rPr>
          <w:rFonts w:ascii="宋体" w:hAnsi="宋体" w:cs="Courier New"/>
          <w:color w:val="auto"/>
          <w:szCs w:val="21"/>
          <w:highlight w:val="none"/>
        </w:rPr>
        <w:t>0</w:t>
      </w:r>
      <w:r>
        <w:rPr>
          <w:rFonts w:hint="eastAsia" w:ascii="宋体" w:hAnsi="宋体" w:cs="Courier New"/>
          <w:color w:val="auto"/>
          <w:szCs w:val="21"/>
          <w:highlight w:val="none"/>
        </w:rPr>
        <w:t xml:space="preserve">分 </w:t>
      </w:r>
    </w:p>
    <w:p>
      <w:pPr>
        <w:adjustRightInd w:val="0"/>
        <w:spacing w:line="380" w:lineRule="exact"/>
        <w:ind w:firstLine="315" w:firstLineChars="150"/>
        <w:contextualSpacing/>
        <w:rPr>
          <w:rFonts w:ascii="宋体" w:hAnsi="宋体" w:cs="宋体"/>
          <w:bCs/>
          <w:color w:val="auto"/>
          <w:kern w:val="0"/>
          <w:szCs w:val="21"/>
          <w:highlight w:val="none"/>
        </w:rPr>
      </w:pPr>
      <w:r>
        <w:rPr>
          <w:rFonts w:hint="eastAsia" w:ascii="宋体" w:hAnsi="宋体" w:cs="宋体"/>
          <w:bCs/>
          <w:color w:val="auto"/>
          <w:kern w:val="0"/>
          <w:szCs w:val="21"/>
          <w:highlight w:val="none"/>
        </w:rPr>
        <w:t>（4）特别说明：评标委员会认为竞标人的报价低于其他通过符合性审查竞标人的报价，有可能影响产品质量或者不能诚信履约的，应当要求其在评标现场提供书面说明，必须提供规范的报价详细说明与依据以供评审。竞标人不能证明报价合理性的，评标委员会应当将其作为无效投标处理。</w:t>
      </w:r>
    </w:p>
    <w:p>
      <w:pPr>
        <w:tabs>
          <w:tab w:val="left" w:pos="5760"/>
        </w:tabs>
        <w:spacing w:line="240" w:lineRule="exact"/>
        <w:ind w:left="411" w:leftChars="98" w:hanging="205" w:hangingChars="98"/>
        <w:rPr>
          <w:rFonts w:ascii="宋体" w:hAnsi="宋体"/>
          <w:color w:val="auto"/>
          <w:szCs w:val="21"/>
          <w:highlight w:val="none"/>
        </w:rPr>
      </w:pPr>
    </w:p>
    <w:p>
      <w:pPr>
        <w:spacing w:line="396" w:lineRule="exact"/>
        <w:outlineLvl w:val="1"/>
        <w:rPr>
          <w:rFonts w:ascii="宋体" w:hAnsi="宋体"/>
          <w:b/>
          <w:color w:val="auto"/>
          <w:szCs w:val="21"/>
          <w:highlight w:val="none"/>
        </w:rPr>
      </w:pPr>
      <w:r>
        <w:rPr>
          <w:rFonts w:hint="eastAsia" w:ascii="宋体" w:hAnsi="宋体"/>
          <w:b/>
          <w:color w:val="auto"/>
          <w:szCs w:val="21"/>
          <w:highlight w:val="none"/>
        </w:rPr>
        <w:t>2、服务方案分……………………………………………………………………………52分</w:t>
      </w:r>
    </w:p>
    <w:p>
      <w:pPr>
        <w:spacing w:line="420" w:lineRule="exact"/>
        <w:ind w:firstLine="315" w:firstLineChars="150"/>
        <w:rPr>
          <w:rFonts w:ascii="宋体" w:hAnsi="宋体"/>
          <w:bCs/>
          <w:color w:val="auto"/>
          <w:szCs w:val="21"/>
          <w:highlight w:val="none"/>
        </w:rPr>
      </w:pPr>
      <w:r>
        <w:rPr>
          <w:rFonts w:hint="eastAsia" w:ascii="宋体" w:hAnsi="宋体"/>
          <w:bCs/>
          <w:color w:val="auto"/>
          <w:szCs w:val="21"/>
          <w:highlight w:val="none"/>
        </w:rPr>
        <w:t>（1）项目理解方案（满分12分）</w:t>
      </w:r>
    </w:p>
    <w:p>
      <w:pPr>
        <w:spacing w:line="420" w:lineRule="exact"/>
        <w:ind w:firstLine="315" w:firstLineChars="150"/>
        <w:rPr>
          <w:rFonts w:ascii="宋体" w:hAnsi="宋体"/>
          <w:bCs/>
          <w:color w:val="auto"/>
          <w:szCs w:val="21"/>
          <w:highlight w:val="none"/>
        </w:rPr>
      </w:pPr>
      <w:r>
        <w:rPr>
          <w:rFonts w:hint="eastAsia" w:ascii="宋体" w:hAnsi="宋体"/>
          <w:bCs/>
          <w:color w:val="auto"/>
          <w:szCs w:val="21"/>
          <w:highlight w:val="none"/>
        </w:rPr>
        <w:t>一档（4分）：磋商供应商提供的方案能根据国家、自治区关于行业建设的标准及依据提供项目需求方案，但对建设背景、建设思路、必要性等内容描述简单。</w:t>
      </w:r>
    </w:p>
    <w:p>
      <w:pPr>
        <w:spacing w:line="420" w:lineRule="exact"/>
        <w:ind w:firstLine="315" w:firstLineChars="150"/>
        <w:rPr>
          <w:rFonts w:ascii="宋体" w:hAnsi="宋体"/>
          <w:bCs/>
          <w:color w:val="auto"/>
          <w:szCs w:val="21"/>
          <w:highlight w:val="none"/>
        </w:rPr>
      </w:pPr>
      <w:r>
        <w:rPr>
          <w:rFonts w:hint="eastAsia" w:ascii="宋体" w:hAnsi="宋体"/>
          <w:bCs/>
          <w:color w:val="auto"/>
          <w:szCs w:val="21"/>
          <w:highlight w:val="none"/>
        </w:rPr>
        <w:t>二档（6分）：在一档的基础上，磋商供应商提供的方案对项目建设现状、用户需求、业务功能需求、系统功能及性能等内容描述详实、表达清晰，基本符合项目实际情况，方案描述详实、表达清晰，基本符合项目实际情况；</w:t>
      </w:r>
    </w:p>
    <w:p>
      <w:pPr>
        <w:spacing w:line="420" w:lineRule="exact"/>
        <w:ind w:firstLine="315" w:firstLineChars="150"/>
        <w:rPr>
          <w:rFonts w:ascii="宋体" w:hAnsi="宋体"/>
          <w:bCs/>
          <w:color w:val="auto"/>
          <w:szCs w:val="21"/>
          <w:highlight w:val="none"/>
        </w:rPr>
      </w:pPr>
      <w:r>
        <w:rPr>
          <w:rFonts w:hint="eastAsia" w:ascii="宋体" w:hAnsi="宋体"/>
          <w:bCs/>
          <w:color w:val="auto"/>
          <w:szCs w:val="21"/>
          <w:highlight w:val="none"/>
        </w:rPr>
        <w:t>三档（8分）：在二档的基础上，磋商供应商提供的方案对项目建设目标、建设内容、立项申报流程与规范等内容描述清楚，符合项目实际需求，具备可行性、可靠性；</w:t>
      </w:r>
    </w:p>
    <w:p>
      <w:pPr>
        <w:spacing w:line="420" w:lineRule="exact"/>
        <w:ind w:firstLine="315" w:firstLineChars="150"/>
        <w:rPr>
          <w:rFonts w:ascii="宋体" w:hAnsi="宋体"/>
          <w:bCs/>
          <w:color w:val="auto"/>
          <w:szCs w:val="21"/>
          <w:highlight w:val="none"/>
        </w:rPr>
      </w:pPr>
      <w:r>
        <w:rPr>
          <w:rFonts w:hint="eastAsia" w:ascii="宋体" w:hAnsi="宋体"/>
          <w:bCs/>
          <w:color w:val="auto"/>
          <w:szCs w:val="21"/>
          <w:highlight w:val="none"/>
        </w:rPr>
        <w:t>四档（10分）：在三档的基础上，磋商供应商提供的方案能对项目建设内容理解及描述思路清晰，符合项目实际需求，功能理解透彻，针对性强；</w:t>
      </w:r>
    </w:p>
    <w:p>
      <w:pPr>
        <w:spacing w:line="420" w:lineRule="exact"/>
        <w:ind w:firstLine="315" w:firstLineChars="150"/>
        <w:rPr>
          <w:rFonts w:ascii="宋体" w:hAnsi="宋体"/>
          <w:bCs/>
          <w:color w:val="auto"/>
          <w:szCs w:val="21"/>
          <w:highlight w:val="none"/>
        </w:rPr>
      </w:pPr>
      <w:r>
        <w:rPr>
          <w:rFonts w:hint="eastAsia" w:ascii="宋体" w:hAnsi="宋体"/>
          <w:bCs/>
          <w:color w:val="auto"/>
          <w:szCs w:val="21"/>
          <w:highlight w:val="none"/>
        </w:rPr>
        <w:t>五档（12分）：在四档的基础上，磋商供应商提供的方案对项目进行分别设计详细的总体框架、技术路线说明等架构方案，提供项目系统等详细建设方案，方案详细、针对性强，并符合项目建设实际情况，方案设计规划合理、描述准确，具备可行性、可靠性、合理性。</w:t>
      </w:r>
    </w:p>
    <w:p>
      <w:pPr>
        <w:spacing w:line="420" w:lineRule="exact"/>
        <w:ind w:firstLine="315" w:firstLineChars="150"/>
        <w:rPr>
          <w:rFonts w:ascii="宋体" w:hAnsi="宋体"/>
          <w:bCs/>
          <w:color w:val="auto"/>
          <w:szCs w:val="21"/>
          <w:highlight w:val="none"/>
        </w:rPr>
      </w:pPr>
      <w:r>
        <w:rPr>
          <w:rFonts w:hint="eastAsia" w:ascii="宋体" w:hAnsi="宋体"/>
          <w:bCs/>
          <w:color w:val="auto"/>
          <w:szCs w:val="21"/>
          <w:highlight w:val="none"/>
        </w:rPr>
        <w:t>（2）项目概预算编制方案（满分10分）</w:t>
      </w:r>
    </w:p>
    <w:p>
      <w:pPr>
        <w:spacing w:line="420" w:lineRule="exact"/>
        <w:ind w:firstLine="315" w:firstLineChars="150"/>
        <w:rPr>
          <w:rFonts w:ascii="宋体" w:hAnsi="宋体"/>
          <w:bCs/>
          <w:color w:val="auto"/>
          <w:szCs w:val="21"/>
          <w:highlight w:val="none"/>
        </w:rPr>
      </w:pPr>
      <w:r>
        <w:rPr>
          <w:rFonts w:hint="eastAsia" w:ascii="宋体" w:hAnsi="宋体"/>
          <w:bCs/>
          <w:color w:val="auto"/>
          <w:szCs w:val="21"/>
          <w:highlight w:val="none"/>
        </w:rPr>
        <w:t>一档（4分）: 磋商供应商提供有项目概预算政策依据、编制方法、编制内容等内容描述简单，符合项目评审及项目建设要求；</w:t>
      </w:r>
    </w:p>
    <w:p>
      <w:pPr>
        <w:spacing w:line="420" w:lineRule="exact"/>
        <w:ind w:firstLine="315" w:firstLineChars="150"/>
        <w:rPr>
          <w:rFonts w:ascii="宋体" w:hAnsi="宋体"/>
          <w:bCs/>
          <w:color w:val="auto"/>
          <w:szCs w:val="21"/>
          <w:highlight w:val="none"/>
        </w:rPr>
      </w:pPr>
      <w:r>
        <w:rPr>
          <w:rFonts w:hint="eastAsia" w:ascii="宋体" w:hAnsi="宋体"/>
          <w:bCs/>
          <w:color w:val="auto"/>
          <w:szCs w:val="21"/>
          <w:highlight w:val="none"/>
        </w:rPr>
        <w:t>二档（6分）:在一档的基础上，磋商供应商提供有项目概预算各项费用构成、概预算使用工具等内容描述清晰、明确，方案符合项目实际需求，完整、可行；</w:t>
      </w:r>
    </w:p>
    <w:p>
      <w:pPr>
        <w:spacing w:line="420" w:lineRule="exact"/>
        <w:ind w:firstLine="315" w:firstLineChars="150"/>
        <w:rPr>
          <w:rFonts w:ascii="宋体" w:hAnsi="宋体"/>
          <w:bCs/>
          <w:color w:val="auto"/>
          <w:szCs w:val="21"/>
          <w:highlight w:val="none"/>
        </w:rPr>
      </w:pPr>
      <w:r>
        <w:rPr>
          <w:rFonts w:hint="eastAsia" w:ascii="宋体" w:hAnsi="宋体"/>
          <w:bCs/>
          <w:color w:val="auto"/>
          <w:szCs w:val="21"/>
          <w:highlight w:val="none"/>
        </w:rPr>
        <w:t>三档（8分）:在二档的基础上，磋商供应商结合项目实际需求，依据相关标准要求编制概预算书框架等内容，可操作性强，各项费用措施齐全；</w:t>
      </w:r>
    </w:p>
    <w:p>
      <w:pPr>
        <w:spacing w:line="420" w:lineRule="exact"/>
        <w:ind w:firstLine="315" w:firstLineChars="150"/>
        <w:rPr>
          <w:rFonts w:ascii="宋体" w:hAnsi="宋体"/>
          <w:bCs/>
          <w:color w:val="auto"/>
          <w:szCs w:val="21"/>
          <w:highlight w:val="none"/>
        </w:rPr>
      </w:pPr>
      <w:r>
        <w:rPr>
          <w:rFonts w:hint="eastAsia" w:ascii="宋体" w:hAnsi="宋体"/>
          <w:bCs/>
          <w:color w:val="auto"/>
          <w:szCs w:val="21"/>
          <w:highlight w:val="none"/>
        </w:rPr>
        <w:t>四档（10分）:在三档的基础上，磋商供应商结合项目实际需求，依据相关标准要求套用造价定额等，定额内容详细全面、预算针对性强，各项费用措施完整。</w:t>
      </w:r>
    </w:p>
    <w:p>
      <w:pPr>
        <w:spacing w:line="420" w:lineRule="exact"/>
        <w:ind w:firstLine="315" w:firstLineChars="150"/>
        <w:rPr>
          <w:rFonts w:ascii="宋体" w:hAnsi="宋体"/>
          <w:bCs/>
          <w:color w:val="auto"/>
          <w:szCs w:val="21"/>
          <w:highlight w:val="none"/>
        </w:rPr>
      </w:pPr>
      <w:r>
        <w:rPr>
          <w:rFonts w:hint="eastAsia" w:ascii="宋体" w:hAnsi="宋体"/>
          <w:bCs/>
          <w:color w:val="auto"/>
          <w:szCs w:val="21"/>
          <w:highlight w:val="none"/>
        </w:rPr>
        <w:t>（3）项目服务保障方案（满分10分）</w:t>
      </w:r>
    </w:p>
    <w:p>
      <w:pPr>
        <w:spacing w:line="420" w:lineRule="exact"/>
        <w:ind w:firstLine="315" w:firstLineChars="150"/>
        <w:rPr>
          <w:rFonts w:ascii="宋体" w:hAnsi="宋体"/>
          <w:bCs/>
          <w:color w:val="auto"/>
          <w:szCs w:val="21"/>
          <w:highlight w:val="none"/>
        </w:rPr>
      </w:pPr>
      <w:r>
        <w:rPr>
          <w:rFonts w:hint="eastAsia" w:ascii="宋体" w:hAnsi="宋体"/>
          <w:bCs/>
          <w:color w:val="auto"/>
          <w:szCs w:val="21"/>
          <w:highlight w:val="none"/>
        </w:rPr>
        <w:t>一档（4分）：磋商供应商提供有服务保障目标、任务等内容描述简单；</w:t>
      </w:r>
    </w:p>
    <w:p>
      <w:pPr>
        <w:spacing w:line="420" w:lineRule="exact"/>
        <w:ind w:firstLine="315" w:firstLineChars="150"/>
        <w:rPr>
          <w:rFonts w:ascii="宋体" w:hAnsi="宋体"/>
          <w:bCs/>
          <w:color w:val="auto"/>
          <w:szCs w:val="21"/>
          <w:highlight w:val="none"/>
        </w:rPr>
      </w:pPr>
      <w:r>
        <w:rPr>
          <w:rFonts w:hint="eastAsia" w:ascii="宋体" w:hAnsi="宋体"/>
          <w:bCs/>
          <w:color w:val="auto"/>
          <w:szCs w:val="21"/>
          <w:highlight w:val="none"/>
        </w:rPr>
        <w:t>二档（6分）：在一档的基础上，磋商供应商提供有项目组织计划、进度计划等内容描述清晰，方案合理、可行、完整；</w:t>
      </w:r>
    </w:p>
    <w:p>
      <w:pPr>
        <w:spacing w:line="420" w:lineRule="exact"/>
        <w:ind w:firstLine="315" w:firstLineChars="150"/>
        <w:rPr>
          <w:rFonts w:ascii="宋体" w:hAnsi="宋体"/>
          <w:bCs/>
          <w:color w:val="auto"/>
          <w:szCs w:val="21"/>
          <w:highlight w:val="none"/>
        </w:rPr>
      </w:pPr>
      <w:r>
        <w:rPr>
          <w:rFonts w:hint="eastAsia" w:ascii="宋体" w:hAnsi="宋体"/>
          <w:bCs/>
          <w:color w:val="auto"/>
          <w:szCs w:val="21"/>
          <w:highlight w:val="none"/>
        </w:rPr>
        <w:t>三档（8分）：在二档的基础上，磋商供应商提供有详细的工程进度保障方法，内容描述详尽、操作性强。</w:t>
      </w:r>
    </w:p>
    <w:p>
      <w:pPr>
        <w:spacing w:line="420" w:lineRule="exact"/>
        <w:ind w:firstLine="315" w:firstLineChars="150"/>
        <w:rPr>
          <w:rFonts w:ascii="宋体" w:hAnsi="宋体"/>
          <w:bCs/>
          <w:color w:val="auto"/>
          <w:szCs w:val="21"/>
          <w:highlight w:val="none"/>
        </w:rPr>
      </w:pPr>
      <w:r>
        <w:rPr>
          <w:rFonts w:hint="eastAsia" w:ascii="宋体" w:hAnsi="宋体"/>
          <w:bCs/>
          <w:color w:val="auto"/>
          <w:szCs w:val="21"/>
          <w:highlight w:val="none"/>
        </w:rPr>
        <w:t>四档（10分）：在三档的基础上，磋商供应商提供有明确的保障措施、管理措施等内容描述详细全面、各项措施合理。</w:t>
      </w:r>
    </w:p>
    <w:p>
      <w:pPr>
        <w:spacing w:line="420" w:lineRule="exact"/>
        <w:ind w:firstLine="315" w:firstLineChars="150"/>
        <w:rPr>
          <w:rFonts w:ascii="宋体" w:hAnsi="宋体"/>
          <w:bCs/>
          <w:color w:val="auto"/>
          <w:szCs w:val="21"/>
          <w:highlight w:val="none"/>
        </w:rPr>
      </w:pPr>
      <w:r>
        <w:rPr>
          <w:rFonts w:hint="eastAsia" w:ascii="宋体" w:hAnsi="宋体"/>
          <w:bCs/>
          <w:color w:val="auto"/>
          <w:szCs w:val="21"/>
          <w:highlight w:val="none"/>
        </w:rPr>
        <w:t>（4）服务质量保障方案（满分10分）</w:t>
      </w:r>
    </w:p>
    <w:p>
      <w:pPr>
        <w:spacing w:line="420" w:lineRule="exact"/>
        <w:ind w:firstLine="315" w:firstLineChars="150"/>
        <w:rPr>
          <w:rFonts w:ascii="宋体" w:hAnsi="宋体"/>
          <w:bCs/>
          <w:color w:val="auto"/>
          <w:szCs w:val="21"/>
          <w:highlight w:val="none"/>
        </w:rPr>
      </w:pPr>
      <w:r>
        <w:rPr>
          <w:rFonts w:hint="eastAsia" w:ascii="宋体" w:hAnsi="宋体"/>
          <w:bCs/>
          <w:color w:val="auto"/>
          <w:szCs w:val="21"/>
          <w:highlight w:val="none"/>
        </w:rPr>
        <w:t>一档（4分）: 磋商供应商提供的本项目服务质量保障方案及措施能够基本保障项目服务质量，基本符合项目采购及建设要求，方案简单，基本可行的为一档；</w:t>
      </w:r>
    </w:p>
    <w:p>
      <w:pPr>
        <w:spacing w:line="420" w:lineRule="exact"/>
        <w:ind w:firstLine="315" w:firstLineChars="150"/>
        <w:rPr>
          <w:rFonts w:ascii="宋体" w:hAnsi="宋体"/>
          <w:bCs/>
          <w:color w:val="auto"/>
          <w:szCs w:val="21"/>
          <w:highlight w:val="none"/>
        </w:rPr>
      </w:pPr>
      <w:r>
        <w:rPr>
          <w:rFonts w:hint="eastAsia" w:ascii="宋体" w:hAnsi="宋体"/>
          <w:bCs/>
          <w:color w:val="auto"/>
          <w:szCs w:val="21"/>
          <w:highlight w:val="none"/>
        </w:rPr>
        <w:t>二档（6分）: 在一档基础上，磋商供应商提供的本项目服务质量保障方案及措施有利于保障项目服务质量，比较符合项目采购及建设要求，方案比较详细，合理可行的为二档；</w:t>
      </w:r>
    </w:p>
    <w:p>
      <w:pPr>
        <w:spacing w:line="420" w:lineRule="exact"/>
        <w:ind w:firstLine="315" w:firstLineChars="150"/>
        <w:rPr>
          <w:rFonts w:ascii="宋体" w:hAnsi="宋体"/>
          <w:bCs/>
          <w:color w:val="auto"/>
          <w:szCs w:val="21"/>
          <w:highlight w:val="none"/>
        </w:rPr>
      </w:pPr>
      <w:r>
        <w:rPr>
          <w:rFonts w:hint="eastAsia" w:ascii="宋体" w:hAnsi="宋体"/>
          <w:bCs/>
          <w:color w:val="auto"/>
          <w:szCs w:val="21"/>
          <w:highlight w:val="none"/>
        </w:rPr>
        <w:t>三档（8分）: 在二档基础上，磋商供应商提供的本项目服务质量保障方案及措施确保项目服务质量，符合项目采购及建设要求，方案详细合理、可行、全面，方案内容及措施较完整的为三档；</w:t>
      </w:r>
    </w:p>
    <w:p>
      <w:pPr>
        <w:spacing w:line="420" w:lineRule="exact"/>
        <w:ind w:firstLine="315" w:firstLineChars="150"/>
        <w:rPr>
          <w:rFonts w:ascii="宋体" w:hAnsi="宋体"/>
          <w:bCs/>
          <w:color w:val="auto"/>
          <w:szCs w:val="21"/>
          <w:highlight w:val="none"/>
        </w:rPr>
      </w:pPr>
      <w:r>
        <w:rPr>
          <w:rFonts w:hint="eastAsia" w:ascii="宋体" w:hAnsi="宋体"/>
          <w:bCs/>
          <w:color w:val="auto"/>
          <w:szCs w:val="21"/>
          <w:highlight w:val="none"/>
        </w:rPr>
        <w:t>四档（10分）: 在三档基础上，磋商供应商提供的服务质量保障方案及措施明显有利于项目的实施，完全符合项目采购及建设要求，方案详细全面、先进性及可操作性强，各项保障方法及措施合理、可行，针对性强，并能确保项目高质量、高效率完成的为四档。</w:t>
      </w:r>
    </w:p>
    <w:p>
      <w:pPr>
        <w:spacing w:line="420" w:lineRule="exact"/>
        <w:ind w:firstLine="315" w:firstLineChars="150"/>
        <w:rPr>
          <w:rFonts w:ascii="宋体" w:hAnsi="宋体"/>
          <w:bCs/>
          <w:color w:val="auto"/>
          <w:szCs w:val="21"/>
          <w:highlight w:val="none"/>
        </w:rPr>
      </w:pPr>
      <w:r>
        <w:rPr>
          <w:rFonts w:hint="eastAsia" w:ascii="宋体" w:hAnsi="宋体"/>
          <w:bCs/>
          <w:color w:val="auto"/>
          <w:szCs w:val="21"/>
          <w:highlight w:val="none"/>
        </w:rPr>
        <w:t>（5）项目档案控制措施方案（满分10分）</w:t>
      </w:r>
    </w:p>
    <w:p>
      <w:pPr>
        <w:spacing w:line="420" w:lineRule="exact"/>
        <w:ind w:firstLine="315" w:firstLineChars="150"/>
        <w:rPr>
          <w:rFonts w:ascii="宋体" w:hAnsi="宋体"/>
          <w:bCs/>
          <w:color w:val="auto"/>
          <w:szCs w:val="21"/>
          <w:highlight w:val="none"/>
        </w:rPr>
      </w:pPr>
      <w:r>
        <w:rPr>
          <w:rFonts w:hint="eastAsia" w:ascii="宋体" w:hAnsi="宋体"/>
          <w:bCs/>
          <w:color w:val="auto"/>
          <w:szCs w:val="21"/>
          <w:highlight w:val="none"/>
        </w:rPr>
        <w:t>一档（4分）：磋商供应商提供的项目档案控制措施方案，能简要描述项目档案控制依据、任务；</w:t>
      </w:r>
    </w:p>
    <w:p>
      <w:pPr>
        <w:spacing w:line="420" w:lineRule="exact"/>
        <w:ind w:firstLine="315" w:firstLineChars="150"/>
        <w:rPr>
          <w:rFonts w:ascii="宋体" w:hAnsi="宋体"/>
          <w:bCs/>
          <w:color w:val="auto"/>
          <w:szCs w:val="21"/>
          <w:highlight w:val="none"/>
        </w:rPr>
      </w:pPr>
      <w:r>
        <w:rPr>
          <w:rFonts w:hint="eastAsia" w:ascii="宋体" w:hAnsi="宋体"/>
          <w:bCs/>
          <w:color w:val="auto"/>
          <w:szCs w:val="21"/>
          <w:highlight w:val="none"/>
        </w:rPr>
        <w:t>二档（6分）：在一档基础上，磋商供应商提供的项目档案控制措施方案，能简单提出项目档案控制依据、详细分析项目档案控制目标、任务、描述具体的控制方法及原则；</w:t>
      </w:r>
    </w:p>
    <w:p>
      <w:pPr>
        <w:spacing w:line="420" w:lineRule="exact"/>
        <w:ind w:firstLine="315" w:firstLineChars="150"/>
        <w:rPr>
          <w:rFonts w:ascii="宋体" w:hAnsi="宋体"/>
          <w:bCs/>
          <w:color w:val="auto"/>
          <w:szCs w:val="21"/>
          <w:highlight w:val="none"/>
        </w:rPr>
      </w:pPr>
      <w:r>
        <w:rPr>
          <w:rFonts w:hint="eastAsia" w:ascii="宋体" w:hAnsi="宋体"/>
          <w:bCs/>
          <w:color w:val="auto"/>
          <w:szCs w:val="21"/>
          <w:highlight w:val="none"/>
        </w:rPr>
        <w:t>三档（8分）：在二档基础上，磋商供应商提供的项目档案控制措施方案，能针对性提出项目档案管理要点、项目档案控制措施，内容详细、针对性强。</w:t>
      </w:r>
    </w:p>
    <w:p>
      <w:pPr>
        <w:spacing w:line="420" w:lineRule="exact"/>
        <w:ind w:firstLine="315" w:firstLineChars="150"/>
        <w:rPr>
          <w:rFonts w:ascii="宋体" w:hAnsi="宋体"/>
          <w:bCs/>
          <w:color w:val="auto"/>
          <w:szCs w:val="21"/>
          <w:highlight w:val="none"/>
        </w:rPr>
      </w:pPr>
      <w:r>
        <w:rPr>
          <w:rFonts w:hint="eastAsia" w:ascii="宋体" w:hAnsi="宋体"/>
          <w:bCs/>
          <w:color w:val="auto"/>
          <w:szCs w:val="21"/>
          <w:highlight w:val="none"/>
        </w:rPr>
        <w:t>四档（10分）：在三档基础上，磋商供应商提供的项目档案控制措施方案，详细分析项目档案控制依据、政策要求、项目档案控制任务、目标、方法及原则、项目档案控制措施等，针对性强、可操作性强。</w:t>
      </w:r>
    </w:p>
    <w:p>
      <w:pPr>
        <w:spacing w:line="396" w:lineRule="exact"/>
        <w:outlineLvl w:val="1"/>
        <w:rPr>
          <w:rFonts w:ascii="宋体" w:hAnsi="宋体"/>
          <w:b/>
          <w:color w:val="auto"/>
          <w:szCs w:val="21"/>
          <w:highlight w:val="none"/>
        </w:rPr>
      </w:pPr>
      <w:r>
        <w:rPr>
          <w:rFonts w:hint="eastAsia" w:ascii="宋体" w:hAnsi="宋体"/>
          <w:b/>
          <w:color w:val="auto"/>
          <w:szCs w:val="21"/>
          <w:highlight w:val="none"/>
        </w:rPr>
        <w:t>3、售后服务分………………………………………………………………………………………10分</w:t>
      </w:r>
    </w:p>
    <w:p>
      <w:pPr>
        <w:spacing w:line="420" w:lineRule="exact"/>
        <w:ind w:firstLine="315" w:firstLineChars="150"/>
        <w:rPr>
          <w:rFonts w:ascii="宋体" w:hAnsi="宋体"/>
          <w:bCs/>
          <w:color w:val="auto"/>
          <w:szCs w:val="21"/>
          <w:highlight w:val="none"/>
        </w:rPr>
      </w:pPr>
      <w:r>
        <w:rPr>
          <w:rFonts w:hint="eastAsia" w:ascii="宋体" w:hAnsi="宋体"/>
          <w:bCs/>
          <w:color w:val="auto"/>
          <w:szCs w:val="21"/>
          <w:highlight w:val="none"/>
        </w:rPr>
        <w:t>一档（6分）：售后服务方案有后续服务承诺、服务内容等内容，内容描述简单、符合项目采购需求；</w:t>
      </w:r>
    </w:p>
    <w:p>
      <w:pPr>
        <w:spacing w:line="420" w:lineRule="exact"/>
        <w:ind w:firstLine="315" w:firstLineChars="150"/>
        <w:rPr>
          <w:rFonts w:ascii="宋体" w:hAnsi="宋体"/>
          <w:bCs/>
          <w:color w:val="auto"/>
          <w:szCs w:val="21"/>
          <w:highlight w:val="none"/>
        </w:rPr>
      </w:pPr>
      <w:r>
        <w:rPr>
          <w:rFonts w:hint="eastAsia" w:ascii="宋体" w:hAnsi="宋体"/>
          <w:bCs/>
          <w:color w:val="auto"/>
          <w:szCs w:val="21"/>
          <w:highlight w:val="none"/>
        </w:rPr>
        <w:t>二档（8分）：在一档的基础上，后续服务方案有服务流程、响应与处置等内容，内容描述清晰、完整、合理，具备可行性；</w:t>
      </w:r>
    </w:p>
    <w:p>
      <w:pPr>
        <w:spacing w:line="420" w:lineRule="exact"/>
        <w:ind w:firstLine="315" w:firstLineChars="150"/>
        <w:rPr>
          <w:rFonts w:ascii="宋体" w:hAnsi="宋体"/>
          <w:bCs/>
          <w:color w:val="auto"/>
          <w:szCs w:val="21"/>
          <w:highlight w:val="none"/>
        </w:rPr>
      </w:pPr>
      <w:r>
        <w:rPr>
          <w:rFonts w:hint="eastAsia" w:ascii="宋体" w:hAnsi="宋体"/>
          <w:bCs/>
          <w:color w:val="auto"/>
          <w:szCs w:val="21"/>
          <w:highlight w:val="none"/>
        </w:rPr>
        <w:t>三档（10分）：在二档的基础上，后续服务方案有应急预案、培训等内容，内容描述详细全面、针对性强、可操作性强，各项保障方法及措施齐全。</w:t>
      </w:r>
    </w:p>
    <w:bookmarkEnd w:id="1"/>
    <w:p>
      <w:pPr>
        <w:spacing w:line="396" w:lineRule="exact"/>
        <w:outlineLvl w:val="1"/>
        <w:rPr>
          <w:rFonts w:ascii="宋体" w:hAnsi="宋体"/>
          <w:b/>
          <w:color w:val="auto"/>
          <w:szCs w:val="21"/>
          <w:highlight w:val="none"/>
        </w:rPr>
      </w:pPr>
      <w:bookmarkStart w:id="2" w:name="_Hlk69111841"/>
      <w:r>
        <w:rPr>
          <w:rFonts w:ascii="宋体" w:hAnsi="宋体"/>
          <w:b/>
          <w:color w:val="auto"/>
          <w:szCs w:val="21"/>
          <w:highlight w:val="none"/>
        </w:rPr>
        <w:t>4</w:t>
      </w:r>
      <w:r>
        <w:rPr>
          <w:rFonts w:hint="eastAsia" w:ascii="宋体" w:hAnsi="宋体"/>
          <w:b/>
          <w:color w:val="auto"/>
          <w:szCs w:val="21"/>
          <w:highlight w:val="none"/>
        </w:rPr>
        <w:t>、团队人员分………………………………………………………………………………………</w:t>
      </w:r>
      <w:r>
        <w:rPr>
          <w:rFonts w:ascii="宋体" w:hAnsi="宋体"/>
          <w:b/>
          <w:color w:val="auto"/>
          <w:szCs w:val="21"/>
          <w:highlight w:val="none"/>
        </w:rPr>
        <w:t>12</w:t>
      </w:r>
      <w:r>
        <w:rPr>
          <w:rFonts w:hint="eastAsia" w:ascii="宋体" w:hAnsi="宋体"/>
          <w:b/>
          <w:color w:val="auto"/>
          <w:szCs w:val="21"/>
          <w:highlight w:val="none"/>
        </w:rPr>
        <w:t>分</w:t>
      </w:r>
    </w:p>
    <w:bookmarkEnd w:id="2"/>
    <w:p>
      <w:pPr>
        <w:spacing w:line="420" w:lineRule="exact"/>
        <w:ind w:firstLine="315" w:firstLineChars="150"/>
        <w:rPr>
          <w:rFonts w:ascii="宋体" w:hAnsi="宋体"/>
          <w:bCs/>
          <w:color w:val="auto"/>
          <w:szCs w:val="21"/>
          <w:highlight w:val="none"/>
        </w:rPr>
      </w:pPr>
      <w:r>
        <w:rPr>
          <w:rFonts w:hint="eastAsia" w:ascii="宋体" w:hAnsi="宋体"/>
          <w:bCs/>
          <w:color w:val="auto"/>
          <w:szCs w:val="21"/>
          <w:highlight w:val="none"/>
        </w:rPr>
        <w:t>（1）拟投入本项目的项目总负责人持【工程师】（专业：信息与通信工程）职称证书，同时持有全过程工程项目管理师、</w:t>
      </w:r>
      <w:r>
        <w:rPr>
          <w:rFonts w:hint="eastAsia" w:ascii="宋体" w:hAnsi="宋体"/>
          <w:color w:val="auto"/>
          <w:szCs w:val="21"/>
          <w:highlight w:val="none"/>
        </w:rPr>
        <w:t>互联网应用工程师</w:t>
      </w:r>
      <w:r>
        <w:rPr>
          <w:rFonts w:hint="eastAsia" w:ascii="宋体" w:hAnsi="宋体"/>
          <w:bCs/>
          <w:color w:val="auto"/>
          <w:szCs w:val="21"/>
          <w:highlight w:val="none"/>
        </w:rPr>
        <w:t>、</w:t>
      </w:r>
      <w:r>
        <w:rPr>
          <w:rFonts w:hint="eastAsia"/>
          <w:color w:val="auto"/>
          <w:highlight w:val="none"/>
        </w:rPr>
        <w:t>软件设计师</w:t>
      </w:r>
      <w:r>
        <w:rPr>
          <w:rFonts w:hint="eastAsia" w:ascii="宋体" w:hAnsi="宋体"/>
          <w:bCs/>
          <w:color w:val="auto"/>
          <w:szCs w:val="21"/>
          <w:highlight w:val="none"/>
        </w:rPr>
        <w:t xml:space="preserve">证书的得2分，缺项不得分，满分2分； </w:t>
      </w:r>
    </w:p>
    <w:p>
      <w:pPr>
        <w:spacing w:line="420" w:lineRule="exact"/>
        <w:ind w:firstLine="315" w:firstLineChars="150"/>
        <w:rPr>
          <w:rFonts w:ascii="宋体" w:hAnsi="宋体"/>
          <w:bCs/>
          <w:color w:val="auto"/>
          <w:szCs w:val="21"/>
          <w:highlight w:val="none"/>
        </w:rPr>
      </w:pPr>
      <w:r>
        <w:rPr>
          <w:rFonts w:hint="eastAsia" w:ascii="宋体" w:hAnsi="宋体"/>
          <w:bCs/>
          <w:color w:val="auto"/>
          <w:szCs w:val="21"/>
          <w:highlight w:val="none"/>
        </w:rPr>
        <w:t xml:space="preserve">（2）拟投入本项目的项目技术负责人持有高级网络技术工程师、IT服务项目经理、高级软件技术开发工程师证书的，每个证书得1分，满分2分； </w:t>
      </w:r>
    </w:p>
    <w:p>
      <w:pPr>
        <w:spacing w:line="420" w:lineRule="exact"/>
        <w:ind w:firstLine="315" w:firstLineChars="150"/>
        <w:rPr>
          <w:rFonts w:ascii="宋体" w:hAnsi="宋体"/>
          <w:bCs/>
          <w:color w:val="auto"/>
          <w:szCs w:val="21"/>
          <w:highlight w:val="none"/>
        </w:rPr>
      </w:pPr>
      <w:r>
        <w:rPr>
          <w:rFonts w:hint="eastAsia" w:ascii="宋体" w:hAnsi="宋体"/>
          <w:bCs/>
          <w:color w:val="auto"/>
          <w:szCs w:val="21"/>
          <w:highlight w:val="none"/>
        </w:rPr>
        <w:t xml:space="preserve">（3）拟投入本项目的数据库设计人员持全过程工程咨询师、大数据资产规划师（中级）、大数据分析师（高级）证书的，每个证书得1分，满分2分； </w:t>
      </w:r>
    </w:p>
    <w:p>
      <w:pPr>
        <w:spacing w:line="420" w:lineRule="exact"/>
        <w:ind w:firstLine="315" w:firstLineChars="150"/>
        <w:rPr>
          <w:rFonts w:ascii="宋体" w:hAnsi="宋体"/>
          <w:bCs/>
          <w:color w:val="auto"/>
          <w:szCs w:val="21"/>
          <w:highlight w:val="none"/>
        </w:rPr>
      </w:pPr>
      <w:r>
        <w:rPr>
          <w:rFonts w:hint="eastAsia" w:ascii="宋体" w:hAnsi="宋体"/>
          <w:bCs/>
          <w:color w:val="auto"/>
          <w:szCs w:val="21"/>
          <w:highlight w:val="none"/>
        </w:rPr>
        <w:t xml:space="preserve">（4）拟投入本项目的系统设计人员持有互联网应用工程师证书、云计算技术（高级）证书、高级数据库管理工程师证书的，每个证书得1分，满分2分； </w:t>
      </w:r>
    </w:p>
    <w:p>
      <w:pPr>
        <w:spacing w:line="420" w:lineRule="exact"/>
        <w:ind w:firstLine="315" w:firstLineChars="150"/>
        <w:rPr>
          <w:rFonts w:ascii="宋体" w:hAnsi="宋体"/>
          <w:bCs/>
          <w:color w:val="auto"/>
          <w:szCs w:val="21"/>
          <w:highlight w:val="none"/>
        </w:rPr>
      </w:pPr>
      <w:r>
        <w:rPr>
          <w:rFonts w:hint="eastAsia" w:ascii="宋体" w:hAnsi="宋体"/>
          <w:bCs/>
          <w:color w:val="auto"/>
          <w:szCs w:val="21"/>
          <w:highlight w:val="none"/>
        </w:rPr>
        <w:t xml:space="preserve">（5）拟投入本项目的应用系统支撑人员持有信息系统审计师（ISA）证书、软件评测师证书、系统集成项目管理工程师证书的，每个证书得1分，满分2分； </w:t>
      </w:r>
    </w:p>
    <w:p>
      <w:pPr>
        <w:spacing w:line="420" w:lineRule="exact"/>
        <w:ind w:firstLine="315" w:firstLineChars="150"/>
        <w:rPr>
          <w:rFonts w:ascii="宋体" w:hAnsi="宋体"/>
          <w:bCs/>
          <w:color w:val="auto"/>
          <w:szCs w:val="21"/>
          <w:highlight w:val="none"/>
        </w:rPr>
      </w:pPr>
      <w:r>
        <w:rPr>
          <w:rFonts w:hint="eastAsia" w:ascii="宋体" w:hAnsi="宋体"/>
          <w:bCs/>
          <w:color w:val="auto"/>
          <w:szCs w:val="21"/>
          <w:highlight w:val="none"/>
        </w:rPr>
        <w:t>（6）拟投入本项目质量管理人员持有高级数据库管理工程师证书、信息系统项目管理师证书、高级网络信息安全工程师证书的，每个证书得1分，满分2分。</w:t>
      </w:r>
    </w:p>
    <w:p>
      <w:pPr>
        <w:spacing w:line="396" w:lineRule="exact"/>
        <w:outlineLvl w:val="1"/>
        <w:rPr>
          <w:rFonts w:ascii="宋体" w:hAnsi="宋体"/>
          <w:b/>
          <w:color w:val="auto"/>
          <w:szCs w:val="21"/>
          <w:highlight w:val="none"/>
        </w:rPr>
      </w:pPr>
      <w:bookmarkStart w:id="3" w:name="_Hlk69111857"/>
      <w:r>
        <w:rPr>
          <w:rFonts w:ascii="宋体" w:hAnsi="宋体"/>
          <w:b/>
          <w:color w:val="auto"/>
          <w:szCs w:val="21"/>
          <w:highlight w:val="none"/>
        </w:rPr>
        <w:t>5</w:t>
      </w:r>
      <w:r>
        <w:rPr>
          <w:rFonts w:hint="eastAsia" w:ascii="宋体" w:hAnsi="宋体"/>
          <w:b/>
          <w:color w:val="auto"/>
          <w:szCs w:val="21"/>
          <w:highlight w:val="none"/>
        </w:rPr>
        <w:t>、信誉与业绩分………………………………………………………………………………16分</w:t>
      </w:r>
    </w:p>
    <w:bookmarkEnd w:id="3"/>
    <w:p>
      <w:pPr>
        <w:spacing w:line="420" w:lineRule="exact"/>
        <w:ind w:firstLine="315" w:firstLineChars="150"/>
        <w:rPr>
          <w:rFonts w:ascii="宋体" w:hAnsi="宋体"/>
          <w:bCs/>
          <w:color w:val="auto"/>
          <w:szCs w:val="21"/>
          <w:highlight w:val="none"/>
        </w:rPr>
      </w:pPr>
      <w:bookmarkStart w:id="4" w:name="_Hlk69110819"/>
      <w:bookmarkStart w:id="5" w:name="_Hlk69111882"/>
      <w:r>
        <w:rPr>
          <w:rFonts w:hint="eastAsia" w:ascii="宋体" w:hAnsi="宋体"/>
          <w:bCs/>
          <w:color w:val="auto"/>
          <w:szCs w:val="21"/>
          <w:highlight w:val="none"/>
        </w:rPr>
        <w:t>（1）磋商供应商通过ISO 9001质量管理体系认证、ISO14001环境管理体系认证、 ISO45001职业健康安全管理体系认证，且认证范围涵盖含</w:t>
      </w:r>
      <w:r>
        <w:rPr>
          <w:rFonts w:hint="eastAsia" w:ascii="宋体" w:hAnsi="宋体"/>
          <w:color w:val="auto"/>
          <w:highlight w:val="none"/>
        </w:rPr>
        <w:t>计算机软件系统、信息系统、计算机信息系统集成的设计</w:t>
      </w:r>
      <w:r>
        <w:rPr>
          <w:rFonts w:hint="eastAsia" w:ascii="宋体" w:hAnsi="宋体"/>
          <w:bCs/>
          <w:color w:val="auto"/>
          <w:szCs w:val="21"/>
          <w:highlight w:val="none"/>
        </w:rPr>
        <w:t>的内容，证书认证范围不满足条件的不得分，每个证书得1分，满分3分。（投标响应文件中提供认证证书复印件加盖投标人公章，原件备查）</w:t>
      </w:r>
    </w:p>
    <w:p>
      <w:pPr>
        <w:spacing w:line="420" w:lineRule="exact"/>
        <w:ind w:firstLine="315" w:firstLineChars="150"/>
        <w:rPr>
          <w:rFonts w:ascii="宋体" w:hAnsi="宋体"/>
          <w:bCs/>
          <w:color w:val="auto"/>
          <w:szCs w:val="21"/>
          <w:highlight w:val="none"/>
        </w:rPr>
      </w:pPr>
      <w:r>
        <w:rPr>
          <w:rFonts w:hint="eastAsia" w:ascii="宋体" w:hAnsi="宋体"/>
          <w:bCs/>
          <w:color w:val="auto"/>
          <w:szCs w:val="21"/>
          <w:highlight w:val="none"/>
        </w:rPr>
        <w:t>（2）磋商供应商通过ISO/IEC 27001信息安全管理体系认证证书的，且证书认证范围至少包含</w:t>
      </w:r>
      <w:r>
        <w:rPr>
          <w:rFonts w:hint="eastAsia" w:ascii="宋体" w:hAnsi="宋体"/>
          <w:color w:val="auto"/>
          <w:highlight w:val="none"/>
        </w:rPr>
        <w:t>计算机软件系统、信息系统</w:t>
      </w:r>
      <w:r>
        <w:rPr>
          <w:rFonts w:hint="eastAsia" w:ascii="宋体" w:hAnsi="宋体"/>
          <w:bCs/>
          <w:color w:val="auto"/>
          <w:szCs w:val="21"/>
          <w:highlight w:val="none"/>
        </w:rPr>
        <w:t>内容的得1分，证书认证范围不满足条件的不得分，满分1分。（投标响应文件中提供证书复印件，原件备查）</w:t>
      </w:r>
    </w:p>
    <w:p>
      <w:pPr>
        <w:spacing w:line="420" w:lineRule="exact"/>
        <w:ind w:firstLine="315" w:firstLineChars="150"/>
        <w:rPr>
          <w:rFonts w:ascii="宋体" w:hAnsi="宋体"/>
          <w:bCs/>
          <w:color w:val="auto"/>
          <w:szCs w:val="21"/>
          <w:highlight w:val="none"/>
        </w:rPr>
      </w:pPr>
      <w:r>
        <w:rPr>
          <w:rFonts w:hint="eastAsia" w:ascii="宋体" w:hAnsi="宋体"/>
          <w:bCs/>
          <w:color w:val="auto"/>
          <w:szCs w:val="21"/>
          <w:highlight w:val="none"/>
        </w:rPr>
        <w:t>（3）磋商供应商通过ISO/IEC 20000信息技术服务管理体系认证证书的，且证书认证范围至少包含信息技术咨询服务、信息系统软件设计服务的内容得1分，证书认证范围不满足条件的不得分，满分1分。（投标响应文件中提供证书复印件，原件备查）</w:t>
      </w:r>
    </w:p>
    <w:p>
      <w:pPr>
        <w:spacing w:line="420" w:lineRule="exact"/>
        <w:ind w:firstLine="315" w:firstLineChars="150"/>
        <w:rPr>
          <w:rFonts w:ascii="宋体" w:hAnsi="宋体"/>
          <w:bCs/>
          <w:color w:val="auto"/>
          <w:szCs w:val="21"/>
          <w:highlight w:val="none"/>
        </w:rPr>
      </w:pPr>
      <w:r>
        <w:rPr>
          <w:rFonts w:hint="eastAsia" w:ascii="宋体" w:hAnsi="宋体"/>
          <w:bCs/>
          <w:color w:val="auto"/>
          <w:szCs w:val="21"/>
          <w:highlight w:val="none"/>
        </w:rPr>
        <w:t>（4）磋商供应商通过社会责任管理体系认证、GB/T 35770合规管理体系认证、GB/T 27922-2011 售后服务认证的，且证书认证范围至少包含</w:t>
      </w:r>
      <w:r>
        <w:rPr>
          <w:rFonts w:hint="eastAsia" w:ascii="宋体" w:hAnsi="宋体" w:cs="宋体"/>
          <w:color w:val="auto"/>
          <w:highlight w:val="none"/>
        </w:rPr>
        <w:t>计算机软件系统、信息系统、计算机信息系统集成的设计</w:t>
      </w:r>
      <w:r>
        <w:rPr>
          <w:rFonts w:hint="eastAsia" w:ascii="宋体" w:hAnsi="宋体"/>
          <w:bCs/>
          <w:color w:val="auto"/>
          <w:szCs w:val="21"/>
          <w:highlight w:val="none"/>
        </w:rPr>
        <w:t>的内容，证书认证范围不满足条件的不得分，每个证书得1分，满分3分。（投标响应文件中提供证书复印件，原件备查）</w:t>
      </w:r>
    </w:p>
    <w:p>
      <w:pPr>
        <w:spacing w:line="420" w:lineRule="exact"/>
        <w:ind w:firstLine="315" w:firstLineChars="150"/>
        <w:rPr>
          <w:rFonts w:ascii="宋体" w:hAnsi="宋体"/>
          <w:bCs/>
          <w:color w:val="auto"/>
          <w:szCs w:val="21"/>
          <w:highlight w:val="none"/>
        </w:rPr>
      </w:pPr>
      <w:r>
        <w:rPr>
          <w:rFonts w:hint="eastAsia" w:ascii="宋体" w:hAnsi="宋体"/>
          <w:bCs/>
          <w:color w:val="auto"/>
          <w:szCs w:val="21"/>
          <w:highlight w:val="none"/>
        </w:rPr>
        <w:t>（5）磋商供应商通过GB/T36463.1-2018信息技术服务 咨询设计 第1部分:通用要求评估，具有ITSS信息技术服务咨询设计标准符合性证书的得1分，满分1分。（投标响应文件中提供证书复印件，原件备查）</w:t>
      </w:r>
    </w:p>
    <w:p>
      <w:pPr>
        <w:spacing w:line="420" w:lineRule="exact"/>
        <w:ind w:firstLine="315" w:firstLineChars="150"/>
        <w:rPr>
          <w:rFonts w:ascii="宋体" w:hAnsi="宋体"/>
          <w:bCs/>
          <w:color w:val="auto"/>
          <w:szCs w:val="21"/>
          <w:highlight w:val="none"/>
        </w:rPr>
      </w:pPr>
      <w:r>
        <w:rPr>
          <w:rFonts w:hint="eastAsia" w:ascii="宋体" w:hAnsi="宋体"/>
          <w:bCs/>
          <w:color w:val="auto"/>
          <w:szCs w:val="21"/>
          <w:highlight w:val="none"/>
        </w:rPr>
        <w:t>（6）磋商供应商获得省级主管部门认定的大数据专业服务机构得1分，满分1分。（投标响应文件中提供证书复印件，原件备查）</w:t>
      </w:r>
    </w:p>
    <w:p>
      <w:pPr>
        <w:spacing w:line="420" w:lineRule="exact"/>
        <w:ind w:firstLine="315" w:firstLineChars="150"/>
        <w:rPr>
          <w:rFonts w:ascii="宋体" w:hAnsi="宋体"/>
          <w:bCs/>
          <w:color w:val="auto"/>
          <w:szCs w:val="21"/>
          <w:highlight w:val="none"/>
        </w:rPr>
      </w:pPr>
      <w:r>
        <w:rPr>
          <w:rFonts w:hint="eastAsia" w:ascii="宋体" w:hAnsi="宋体"/>
          <w:bCs/>
          <w:color w:val="auto"/>
          <w:szCs w:val="21"/>
          <w:highlight w:val="none"/>
        </w:rPr>
        <w:t>（7）磋商供应商具有音视频集成工程企业资质等级证书的得1分，满分1分。（投标响应文件中提供证书复印件，原件备查）</w:t>
      </w:r>
    </w:p>
    <w:p>
      <w:pPr>
        <w:spacing w:line="420" w:lineRule="exact"/>
        <w:ind w:firstLine="315" w:firstLineChars="150"/>
        <w:rPr>
          <w:rFonts w:ascii="宋体" w:hAnsi="宋体"/>
          <w:bCs/>
          <w:color w:val="auto"/>
          <w:szCs w:val="21"/>
          <w:highlight w:val="none"/>
        </w:rPr>
      </w:pPr>
      <w:r>
        <w:rPr>
          <w:rFonts w:hint="eastAsia" w:ascii="宋体" w:hAnsi="宋体"/>
          <w:bCs/>
          <w:color w:val="auto"/>
          <w:szCs w:val="21"/>
          <w:highlight w:val="none"/>
        </w:rPr>
        <w:t>（8）磋商供应商具有信息安全服务资质认证证书（信息安全风险评估服务资质）的得1分，满分1分。（投标响应文件中提供证书复印件，原件备查）</w:t>
      </w:r>
    </w:p>
    <w:p>
      <w:pPr>
        <w:spacing w:line="420" w:lineRule="exact"/>
        <w:ind w:firstLine="315" w:firstLineChars="150"/>
        <w:rPr>
          <w:rFonts w:ascii="宋体" w:hAnsi="宋体"/>
          <w:bCs/>
          <w:color w:val="auto"/>
          <w:szCs w:val="21"/>
          <w:highlight w:val="none"/>
        </w:rPr>
      </w:pPr>
      <w:r>
        <w:rPr>
          <w:rFonts w:hint="eastAsia" w:ascii="宋体" w:hAnsi="宋体"/>
          <w:bCs/>
          <w:color w:val="auto"/>
          <w:szCs w:val="21"/>
          <w:highlight w:val="none"/>
        </w:rPr>
        <w:t>（9）磋商供应商具有电子通信广电行业（电子系统工程）专业甲级资质的得2分，满分2分。（提供复印件，原件备查）</w:t>
      </w:r>
    </w:p>
    <w:p>
      <w:pPr>
        <w:spacing w:line="420" w:lineRule="exact"/>
        <w:ind w:firstLine="315" w:firstLineChars="150"/>
        <w:rPr>
          <w:rFonts w:ascii="宋体" w:hAnsi="宋体"/>
          <w:bCs/>
          <w:color w:val="auto"/>
          <w:szCs w:val="21"/>
          <w:highlight w:val="none"/>
        </w:rPr>
      </w:pPr>
      <w:r>
        <w:rPr>
          <w:rFonts w:hint="eastAsia" w:ascii="宋体" w:hAnsi="宋体"/>
          <w:bCs/>
          <w:color w:val="auto"/>
          <w:szCs w:val="21"/>
          <w:highlight w:val="none"/>
        </w:rPr>
        <w:t>（10）磋商供应商自2018年1月1日以来具有咨询或设计项目的业绩，每个0.5分，满分2分。（提供中标通知书或合同复印件并加盖公章）</w:t>
      </w:r>
    </w:p>
    <w:bookmarkEnd w:id="4"/>
    <w:p>
      <w:pPr>
        <w:spacing w:line="396" w:lineRule="exact"/>
        <w:ind w:firstLine="422" w:firstLineChars="200"/>
        <w:rPr>
          <w:rFonts w:ascii="宋体" w:hAnsi="宋体"/>
          <w:b/>
          <w:color w:val="auto"/>
          <w:szCs w:val="21"/>
          <w:highlight w:val="none"/>
        </w:rPr>
      </w:pPr>
      <w:r>
        <w:rPr>
          <w:rFonts w:hint="eastAsia" w:ascii="宋体" w:hAnsi="宋体"/>
          <w:b/>
          <w:color w:val="auto"/>
          <w:szCs w:val="21"/>
          <w:highlight w:val="none"/>
        </w:rPr>
        <w:t>6、总得分=1+2+3+4+5</w:t>
      </w:r>
    </w:p>
    <w:bookmarkEnd w:id="5"/>
    <w:p>
      <w:pPr>
        <w:adjustRightInd w:val="0"/>
        <w:snapToGrid w:val="0"/>
        <w:spacing w:line="440" w:lineRule="exact"/>
        <w:rPr>
          <w:rFonts w:ascii="宋体" w:hAnsi="宋体"/>
          <w:b/>
          <w:color w:val="auto"/>
          <w:szCs w:val="21"/>
          <w:highlight w:val="none"/>
        </w:rPr>
      </w:pPr>
      <w:bookmarkStart w:id="6" w:name="_Hlk69111923"/>
      <w:r>
        <w:rPr>
          <w:rFonts w:hint="eastAsia" w:ascii="宋体" w:hAnsi="宋体"/>
          <w:b/>
          <w:color w:val="auto"/>
          <w:szCs w:val="21"/>
          <w:highlight w:val="none"/>
        </w:rPr>
        <w:t>三、中标候选人推荐原则</w:t>
      </w:r>
    </w:p>
    <w:bookmarkEnd w:id="6"/>
    <w:p>
      <w:pPr>
        <w:spacing w:line="420" w:lineRule="exact"/>
        <w:ind w:firstLine="315" w:firstLineChars="150"/>
        <w:rPr>
          <w:rFonts w:ascii="宋体" w:hAnsi="宋体"/>
          <w:color w:val="auto"/>
          <w:szCs w:val="21"/>
          <w:highlight w:val="none"/>
        </w:rPr>
      </w:pPr>
      <w:bookmarkStart w:id="7" w:name="_Hlk69111911"/>
      <w:r>
        <w:rPr>
          <w:rFonts w:hint="eastAsia" w:ascii="宋体" w:hAnsi="宋体"/>
          <w:bCs/>
          <w:color w:val="auto"/>
          <w:szCs w:val="21"/>
          <w:highlight w:val="none"/>
        </w:rPr>
        <w:t>（一）评标委员会将根据得分由高到低排列次序（得分相同时，以投标报价由低到高顺序排列；得分相同且投标报价相同的，按技术指标优劣顺序排列）并推荐中标候选供应商。招标采购单位应当确定评审委员会推荐排名第一的中标候选人为中标人。排名第一的中标候选人放弃中标、因不可抗力提出不能履行合同，或者招标文件规定应当提交质量保证金而在规定的期限内未能提交的，招标采购单位可以确定排名第二的中标候选人为中标人。排名第二的中标候选人因前款规定的同样原因不能签订合同的，招标采购单位可以确定排名第三的中标候选人为中标人，其余以此类推</w:t>
      </w:r>
      <w:r>
        <w:rPr>
          <w:rFonts w:hint="eastAsia" w:ascii="宋体" w:hAnsi="宋体"/>
          <w:b/>
          <w:bCs/>
          <w:color w:val="auto"/>
          <w:szCs w:val="21"/>
          <w:highlight w:val="none"/>
        </w:rPr>
        <w:t>。采购人也可以决定重新采购。</w:t>
      </w:r>
      <w:r>
        <w:rPr>
          <w:rFonts w:ascii="宋体" w:hAnsi="宋体"/>
          <w:b/>
          <w:bCs/>
          <w:color w:val="auto"/>
          <w:szCs w:val="21"/>
          <w:highlight w:val="none"/>
        </w:rPr>
        <w:br w:type="textWrapping"/>
      </w:r>
      <w:r>
        <w:rPr>
          <w:rFonts w:ascii="宋体" w:hAnsi="宋体"/>
          <w:b/>
          <w:bCs/>
          <w:color w:val="auto"/>
          <w:szCs w:val="21"/>
          <w:highlight w:val="none"/>
        </w:rPr>
        <w:t xml:space="preserve">    </w:t>
      </w:r>
      <w:r>
        <w:rPr>
          <w:rFonts w:hint="eastAsia" w:ascii="宋体" w:hAnsi="宋体"/>
          <w:bCs/>
          <w:color w:val="auto"/>
          <w:szCs w:val="21"/>
          <w:highlight w:val="none"/>
        </w:rPr>
        <w:t>（二）评标委员会认为，某竞标人的有效投标报价或者某些分项报价明显不合理或者低于成本，有可能影响服务质量和不能诚信履约的，应要求其在规定的期限内提供书面文件予以解释说明，并提交相关证明材料，</w:t>
      </w:r>
      <w:r>
        <w:rPr>
          <w:rFonts w:hint="eastAsia" w:ascii="宋体" w:hAnsi="宋体"/>
          <w:b/>
          <w:bCs/>
          <w:color w:val="auto"/>
          <w:szCs w:val="21"/>
          <w:highlight w:val="none"/>
        </w:rPr>
        <w:t>否则，评标委员会不推荐该竞标人为中标候选人。</w:t>
      </w:r>
    </w:p>
    <w:bookmarkEnd w:id="7"/>
    <w:p>
      <w:pPr>
        <w:spacing w:line="360" w:lineRule="auto"/>
        <w:ind w:firstLine="462" w:firstLineChars="220"/>
        <w:rPr>
          <w:color w:val="auto"/>
          <w:highlight w:val="none"/>
        </w:rPr>
      </w:pPr>
    </w:p>
    <w:p>
      <w:pPr>
        <w:pStyle w:val="17"/>
        <w:spacing w:line="360" w:lineRule="auto"/>
        <w:rPr>
          <w:rFonts w:ascii="宋体" w:hAnsi="宋体" w:cs="宋体"/>
          <w:color w:val="auto"/>
          <w:szCs w:val="21"/>
          <w:highlight w:val="none"/>
        </w:rPr>
      </w:pPr>
    </w:p>
    <w:bookmarkEnd w:id="8"/>
    <w:sectPr>
      <w:headerReference r:id="rId3" w:type="default"/>
      <w:footerReference r:id="rId4" w:type="default"/>
      <w:pgSz w:w="11906" w:h="16838"/>
      <w:pgMar w:top="1440" w:right="1366"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59264" behindDoc="0" locked="0" layoutInCell="1" allowOverlap="1">
              <wp:simplePos x="0" y="0"/>
              <wp:positionH relativeFrom="margin">
                <wp:posOffset>3052445</wp:posOffset>
              </wp:positionH>
              <wp:positionV relativeFrom="paragraph">
                <wp:posOffset>-19050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default" w:ascii="Times New Roman" w:hAnsi="Times New Roman" w:eastAsia="宋体" w:cs="Times New Roman"/>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40.35pt;margin-top:-1.5pt;height:144pt;width:144pt;mso-position-horizontal-relative:margin;mso-wrap-style:none;z-index:251659264;mso-width-relative:page;mso-height-relative:page;" filled="f" stroked="f" coordsize="21600,21600" o:gfxdata="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kOHdE2AAAAAoBAAAPAAAAAAAA&#10;AAEAIAAAACIAAABkcnMvZG93bnJldi54bWxQSwECFAAUAAAACACHTuJAStvN/xICAAATBAAADgAA&#10;AAAAAAABACAAAAAnAQAAZHJzL2Uyb0RvYy54bWxQSwUGAAAAAAYABgBZAQAAqwUAAAAA&#10;">
              <v:fill on="f" focussize="0,0"/>
              <v:stroke on="f" weight="0.5pt"/>
              <v:imagedata o:title=""/>
              <o:lock v:ext="edit" aspectratio="f"/>
              <v:textbox inset="0mm,0mm,0mm,0mm" style="mso-fit-shape-to-text:t;">
                <w:txbxContent>
                  <w:p>
                    <w:pPr>
                      <w:pStyle w:val="14"/>
                      <w:rPr>
                        <w:rFonts w:hint="default" w:ascii="Times New Roman" w:hAnsi="Times New Roman" w:eastAsia="宋体" w:cs="Times New Roman"/>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color w:val="auto"/>
        <w:sz w:val="21"/>
        <w:szCs w:val="21"/>
        <w:lang w:eastAsia="zh-CN"/>
      </w:rPr>
      <w:t>云上</w:t>
    </w:r>
    <w:r>
      <w:rPr>
        <w:rFonts w:hint="eastAsia" w:asciiTheme="minorEastAsia" w:hAnsiTheme="minorEastAsia" w:eastAsiaTheme="minorEastAsia" w:cstheme="minorEastAsia"/>
        <w:color w:val="auto"/>
        <w:sz w:val="21"/>
        <w:szCs w:val="21"/>
      </w:rPr>
      <w:t>东博</w:t>
    </w:r>
    <w:r>
      <w:rPr>
        <w:rFonts w:hint="eastAsia" w:asciiTheme="minorEastAsia" w:hAnsiTheme="minorEastAsia" w:eastAsiaTheme="minorEastAsia" w:cstheme="minorEastAsia"/>
        <w:color w:val="auto"/>
        <w:sz w:val="21"/>
        <w:szCs w:val="21"/>
        <w:lang w:eastAsia="zh-CN"/>
      </w:rPr>
      <w:t>会系统</w:t>
    </w:r>
    <w:r>
      <w:rPr>
        <w:rFonts w:hint="eastAsia" w:asciiTheme="minorEastAsia" w:hAnsiTheme="minorEastAsia" w:eastAsiaTheme="minorEastAsia" w:cstheme="minorEastAsia"/>
        <w:color w:val="auto"/>
        <w:sz w:val="21"/>
        <w:szCs w:val="21"/>
        <w:lang w:val="en-US" w:eastAsia="zh-CN"/>
      </w:rPr>
      <w:t>建设</w:t>
    </w:r>
    <w:r>
      <w:rPr>
        <w:rFonts w:hint="eastAsia" w:asciiTheme="minorEastAsia" w:hAnsiTheme="minorEastAsia" w:eastAsiaTheme="minorEastAsia" w:cstheme="minorEastAsia"/>
        <w:color w:val="auto"/>
        <w:sz w:val="21"/>
        <w:szCs w:val="21"/>
        <w:lang w:eastAsia="zh-CN"/>
      </w:rPr>
      <w:t>项目立项、</w:t>
    </w:r>
    <w:r>
      <w:rPr>
        <w:rFonts w:hint="eastAsia" w:asciiTheme="minorEastAsia" w:hAnsiTheme="minorEastAsia" w:eastAsiaTheme="minorEastAsia" w:cstheme="minorEastAsia"/>
        <w:color w:val="auto"/>
        <w:sz w:val="21"/>
        <w:szCs w:val="21"/>
        <w:lang w:val="en-US" w:eastAsia="zh-CN"/>
      </w:rPr>
      <w:t>投资评审</w:t>
    </w:r>
    <w:r>
      <w:rPr>
        <w:rFonts w:hint="eastAsia" w:asciiTheme="minorEastAsia" w:hAnsiTheme="minorEastAsia" w:eastAsiaTheme="minorEastAsia" w:cstheme="minorEastAsia"/>
        <w:color w:val="auto"/>
        <w:sz w:val="21"/>
        <w:szCs w:val="21"/>
        <w:lang w:eastAsia="zh-CN"/>
      </w:rPr>
      <w:t>咨询服务补充采购</w:t>
    </w:r>
    <w:r>
      <w:rPr>
        <w:rFonts w:hint="eastAsia" w:asciiTheme="minorEastAsia" w:hAnsiTheme="minorEastAsia" w:eastAsiaTheme="minorEastAsia" w:cstheme="minorEastAsia"/>
        <w:color w:val="auto"/>
        <w:sz w:val="21"/>
        <w:szCs w:val="21"/>
        <w:lang w:val="en-US" w:eastAsia="zh-CN"/>
      </w:rPr>
      <w:t>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466B47"/>
    <w:multiLevelType w:val="multilevel"/>
    <w:tmpl w:val="EC466B47"/>
    <w:lvl w:ilvl="0" w:tentative="0">
      <w:start w:val="1"/>
      <w:numFmt w:val="chineseCountingThousand"/>
      <w:pStyle w:val="31"/>
      <w:suff w:val="space"/>
      <w:lvlText w:val="第%1章"/>
      <w:lvlJc w:val="left"/>
      <w:pPr>
        <w:tabs>
          <w:tab w:val="left" w:pos="0"/>
        </w:tabs>
        <w:ind w:left="425" w:hanging="425"/>
      </w:pPr>
      <w:rPr>
        <w:rFonts w:hint="eastAsia"/>
      </w:rPr>
    </w:lvl>
    <w:lvl w:ilvl="1" w:tentative="0">
      <w:start w:val="1"/>
      <w:numFmt w:val="decimal"/>
      <w:isLgl/>
      <w:suff w:val="space"/>
      <w:lvlText w:val="%1.%2"/>
      <w:lvlJc w:val="left"/>
      <w:pPr>
        <w:tabs>
          <w:tab w:val="left" w:pos="0"/>
        </w:tabs>
        <w:ind w:left="425" w:hanging="425"/>
      </w:pPr>
      <w:rPr>
        <w:rFonts w:hint="eastAsia" w:ascii="仿宋" w:hAnsi="仿宋" w:eastAsia="仿宋"/>
        <w:b/>
        <w:i w:val="0"/>
        <w:sz w:val="36"/>
      </w:rPr>
    </w:lvl>
    <w:lvl w:ilvl="2" w:tentative="0">
      <w:start w:val="1"/>
      <w:numFmt w:val="decimal"/>
      <w:isLgl/>
      <w:suff w:val="space"/>
      <w:lvlText w:val="%1.%2.%3"/>
      <w:lvlJc w:val="left"/>
      <w:pPr>
        <w:tabs>
          <w:tab w:val="left" w:pos="0"/>
        </w:tabs>
        <w:ind w:left="425" w:hanging="425"/>
      </w:pPr>
      <w:rPr>
        <w:rFonts w:hint="eastAsia"/>
      </w:rPr>
    </w:lvl>
    <w:lvl w:ilvl="3" w:tentative="0">
      <w:start w:val="1"/>
      <w:numFmt w:val="decimal"/>
      <w:isLgl/>
      <w:suff w:val="space"/>
      <w:lvlText w:val="%1.%2.%3.%4"/>
      <w:lvlJc w:val="left"/>
      <w:pPr>
        <w:tabs>
          <w:tab w:val="left" w:pos="0"/>
        </w:tabs>
        <w:ind w:left="425" w:hanging="425"/>
      </w:pPr>
      <w:rPr>
        <w:rFonts w:hint="eastAsia" w:ascii="仿宋" w:hAnsi="仿宋" w:eastAsia="仿宋"/>
        <w:b/>
        <w:bCs/>
        <w:i w:val="0"/>
        <w:iCs w:val="0"/>
        <w:caps w:val="0"/>
        <w:smallCaps w:val="0"/>
        <w:strike w:val="0"/>
        <w:dstrike w:val="0"/>
        <w:color w:val="000000"/>
        <w:spacing w:val="0"/>
        <w:w w:val="100"/>
        <w:kern w:val="2"/>
        <w:position w:val="0"/>
        <w:sz w:val="32"/>
        <w:u w:val="none"/>
        <w:vertAlign w:val="baseline"/>
      </w:rPr>
    </w:lvl>
    <w:lvl w:ilvl="4" w:tentative="0">
      <w:start w:val="1"/>
      <w:numFmt w:val="decimal"/>
      <w:isLgl/>
      <w:suff w:val="space"/>
      <w:lvlText w:val="%1.%2.%3.%4.%5"/>
      <w:lvlJc w:val="left"/>
      <w:pPr>
        <w:tabs>
          <w:tab w:val="left" w:pos="0"/>
        </w:tabs>
        <w:ind w:left="425" w:hanging="425"/>
      </w:pPr>
      <w:rPr>
        <w:rFonts w:hint="eastAsia"/>
      </w:rPr>
    </w:lvl>
    <w:lvl w:ilvl="5" w:tentative="0">
      <w:start w:val="1"/>
      <w:numFmt w:val="decimal"/>
      <w:isLgl/>
      <w:suff w:val="space"/>
      <w:lvlText w:val="%1.%2.%3.%4.%5.%6"/>
      <w:lvlJc w:val="left"/>
      <w:pPr>
        <w:tabs>
          <w:tab w:val="left" w:pos="0"/>
        </w:tabs>
        <w:ind w:left="425" w:hanging="425"/>
      </w:pPr>
      <w:rPr>
        <w:rFonts w:hint="eastAsia"/>
        <w:b/>
        <w:sz w:val="28"/>
        <w:szCs w:val="28"/>
      </w:rPr>
    </w:lvl>
    <w:lvl w:ilvl="6" w:tentative="0">
      <w:start w:val="1"/>
      <w:numFmt w:val="decimal"/>
      <w:lvlText w:val="%1.%2.%3.%4.%5.%6.%7"/>
      <w:lvlJc w:val="left"/>
      <w:pPr>
        <w:tabs>
          <w:tab w:val="left" w:pos="0"/>
        </w:tabs>
        <w:ind w:left="425" w:hanging="425"/>
      </w:pPr>
      <w:rPr>
        <w:rFonts w:hint="eastAsia"/>
      </w:rPr>
    </w:lvl>
    <w:lvl w:ilvl="7" w:tentative="0">
      <w:start w:val="1"/>
      <w:numFmt w:val="decimal"/>
      <w:lvlText w:val="%1.%2.%3.%4.%5.%6.%7.%8"/>
      <w:lvlJc w:val="left"/>
      <w:pPr>
        <w:tabs>
          <w:tab w:val="left" w:pos="0"/>
        </w:tabs>
        <w:ind w:left="425" w:hanging="425"/>
      </w:pPr>
      <w:rPr>
        <w:rFonts w:hint="eastAsia"/>
      </w:rPr>
    </w:lvl>
    <w:lvl w:ilvl="8" w:tentative="0">
      <w:start w:val="1"/>
      <w:numFmt w:val="decimal"/>
      <w:lvlText w:val="%1.%2.%3.%4.%5.%6.%7.%8.%9"/>
      <w:lvlJc w:val="left"/>
      <w:pPr>
        <w:tabs>
          <w:tab w:val="left" w:pos="0"/>
        </w:tabs>
        <w:ind w:left="425" w:hanging="425"/>
      </w:pPr>
      <w:rPr>
        <w:rFonts w:hint="eastAsia"/>
      </w:rPr>
    </w:lvl>
  </w:abstractNum>
  <w:abstractNum w:abstractNumId="1">
    <w:nsid w:val="3BB135F6"/>
    <w:multiLevelType w:val="multilevel"/>
    <w:tmpl w:val="3BB135F6"/>
    <w:lvl w:ilvl="0" w:tentative="0">
      <w:start w:val="1"/>
      <w:numFmt w:val="chineseCountingThousand"/>
      <w:pStyle w:val="3"/>
      <w:suff w:val="space"/>
      <w:lvlText w:val="第%1章"/>
      <w:lvlJc w:val="left"/>
      <w:pPr>
        <w:ind w:left="0" w:firstLine="0"/>
      </w:pPr>
      <w:rPr>
        <w:rFonts w:hint="eastAsia"/>
        <w:lang w:val="en-US"/>
      </w:rPr>
    </w:lvl>
    <w:lvl w:ilvl="1" w:tentative="0">
      <w:start w:val="1"/>
      <w:numFmt w:val="decimal"/>
      <w:pStyle w:val="2"/>
      <w:isLgl/>
      <w:suff w:val="space"/>
      <w:lvlText w:val="%1.%2"/>
      <w:lvlJc w:val="left"/>
      <w:pPr>
        <w:ind w:left="0" w:firstLine="0"/>
      </w:pPr>
      <w:rPr>
        <w:rFonts w:hint="eastAsia" w:ascii="仿宋_GB2312" w:eastAsia="仿宋_GB2312"/>
        <w:b/>
        <w:i w:val="0"/>
        <w:sz w:val="32"/>
      </w:rPr>
    </w:lvl>
    <w:lvl w:ilvl="2" w:tentative="0">
      <w:start w:val="1"/>
      <w:numFmt w:val="decimal"/>
      <w:pStyle w:val="4"/>
      <w:isLgl/>
      <w:suff w:val="space"/>
      <w:lvlText w:val="%1.%2.%3"/>
      <w:lvlJc w:val="left"/>
      <w:pPr>
        <w:ind w:left="0" w:firstLine="0"/>
      </w:pPr>
      <w:rPr>
        <w:rFonts w:hint="eastAsia" w:ascii="仿宋_GB2312" w:eastAsia="仿宋_GB2312"/>
        <w:b/>
        <w:i w:val="0"/>
        <w:sz w:val="30"/>
        <w:szCs w:val="30"/>
      </w:rPr>
    </w:lvl>
    <w:lvl w:ilvl="3" w:tentative="0">
      <w:start w:val="1"/>
      <w:numFmt w:val="decimal"/>
      <w:pStyle w:val="5"/>
      <w:isLgl/>
      <w:suff w:val="space"/>
      <w:lvlText w:val="%1.%2.%3.%4"/>
      <w:lvlJc w:val="left"/>
      <w:pPr>
        <w:ind w:left="0" w:firstLine="0"/>
      </w:pPr>
      <w:rPr>
        <w:rFonts w:hint="eastAsia" w:ascii="仿宋_GB2312" w:eastAsia="仿宋_GB2312"/>
        <w:b/>
        <w:i w:val="0"/>
        <w:sz w:val="28"/>
      </w:rPr>
    </w:lvl>
    <w:lvl w:ilvl="4" w:tentative="0">
      <w:start w:val="1"/>
      <w:numFmt w:val="decimal"/>
      <w:pStyle w:val="6"/>
      <w:isLgl/>
      <w:suff w:val="space"/>
      <w:lvlText w:val="%1.%2.%3.%4.%5"/>
      <w:lvlJc w:val="left"/>
      <w:pPr>
        <w:ind w:left="0" w:firstLine="0"/>
      </w:pPr>
      <w:rPr>
        <w:rFonts w:hint="eastAsia" w:ascii="仿宋_GB2312" w:eastAsia="仿宋_GB2312"/>
        <w:b/>
        <w:bCs w:val="0"/>
        <w:i w:val="0"/>
        <w:iCs w:val="0"/>
        <w:caps w:val="0"/>
        <w:smallCaps w:val="0"/>
        <w:strike w:val="0"/>
        <w:dstrike w:val="0"/>
        <w:vanish w:val="0"/>
        <w:color w:val="000000"/>
        <w:spacing w:val="0"/>
        <w:kern w:val="0"/>
        <w:position w:val="0"/>
        <w:sz w:val="28"/>
        <w:u w:val="none"/>
        <w:vertAlign w:val="baseline"/>
        <w14:shadow w14:blurRad="0" w14:dist="0" w14:dir="0" w14:sx="0" w14:sy="0" w14:kx="0" w14:ky="0" w14:algn="none">
          <w14:srgbClr w14:val="000000"/>
        </w14:shadow>
      </w:rPr>
    </w:lvl>
    <w:lvl w:ilvl="5" w:tentative="0">
      <w:start w:val="1"/>
      <w:numFmt w:val="decimal"/>
      <w:pStyle w:val="7"/>
      <w:isLgl/>
      <w:suff w:val="nothing"/>
      <w:lvlText w:val="%1.%2.%3.%4.%5.%6"/>
      <w:lvlJc w:val="left"/>
      <w:pPr>
        <w:ind w:left="0" w:firstLine="0"/>
      </w:pPr>
      <w:rPr>
        <w:rFonts w:hint="eastAsia" w:ascii="仿宋_GB2312" w:eastAsia="仿宋_GB2312"/>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6" w:tentative="0">
      <w:start w:val="1"/>
      <w:numFmt w:val="decimal"/>
      <w:pStyle w:val="8"/>
      <w:isLgl/>
      <w:suff w:val="nothing"/>
      <w:lvlText w:val="%1.%2.%3.%4.%5.%6.%7"/>
      <w:lvlJc w:val="left"/>
      <w:pPr>
        <w:ind w:left="0" w:firstLine="0"/>
      </w:pPr>
      <w:rPr>
        <w:rFonts w:hint="eastAsia" w:ascii="仿宋_GB2312" w:eastAsia="仿宋_GB2312"/>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7" w:tentative="0">
      <w:start w:val="1"/>
      <w:numFmt w:val="decimal"/>
      <w:isLgl/>
      <w:suff w:val="nothing"/>
      <w:lvlText w:val="%1.%2.%3.%4.%5.%6.%7.%8"/>
      <w:lvlJc w:val="left"/>
      <w:pPr>
        <w:ind w:left="0" w:firstLine="0"/>
      </w:pPr>
      <w:rPr>
        <w:rFonts w:hint="eastAsia" w:ascii="微软雅黑" w:eastAsia="微软雅黑"/>
        <w:b w:val="0"/>
        <w:i w:val="0"/>
        <w:sz w:val="28"/>
      </w:rPr>
    </w:lvl>
    <w:lvl w:ilvl="8" w:tentative="0">
      <w:start w:val="1"/>
      <w:numFmt w:val="decimal"/>
      <w:isLgl/>
      <w:suff w:val="nothing"/>
      <w:lvlText w:val="%1.%2.%3.%4.%5.%6.%7.%8.%9"/>
      <w:lvlJc w:val="left"/>
      <w:pPr>
        <w:ind w:left="0" w:firstLine="0"/>
      </w:pPr>
      <w:rPr>
        <w:rFonts w:hint="eastAsia" w:ascii="微软雅黑" w:eastAsia="微软雅黑"/>
        <w:b w:val="0"/>
        <w:i w:val="0"/>
        <w:sz w:val="28"/>
      </w:rPr>
    </w:lvl>
  </w:abstractNum>
  <w:abstractNum w:abstractNumId="2">
    <w:nsid w:val="6B44B842"/>
    <w:multiLevelType w:val="singleLevel"/>
    <w:tmpl w:val="6B44B842"/>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E5A"/>
    <w:rsid w:val="00004CE0"/>
    <w:rsid w:val="00006742"/>
    <w:rsid w:val="0001735F"/>
    <w:rsid w:val="00030758"/>
    <w:rsid w:val="00031027"/>
    <w:rsid w:val="00034670"/>
    <w:rsid w:val="00053A7A"/>
    <w:rsid w:val="00053CB0"/>
    <w:rsid w:val="00055AD7"/>
    <w:rsid w:val="000615CF"/>
    <w:rsid w:val="0006272C"/>
    <w:rsid w:val="000630C4"/>
    <w:rsid w:val="00067950"/>
    <w:rsid w:val="00067E78"/>
    <w:rsid w:val="00083B45"/>
    <w:rsid w:val="000850CD"/>
    <w:rsid w:val="00085BD4"/>
    <w:rsid w:val="00087720"/>
    <w:rsid w:val="0008785B"/>
    <w:rsid w:val="0009169B"/>
    <w:rsid w:val="000A0EB5"/>
    <w:rsid w:val="000A1901"/>
    <w:rsid w:val="000A4153"/>
    <w:rsid w:val="000A6434"/>
    <w:rsid w:val="000B17DD"/>
    <w:rsid w:val="000B1BA0"/>
    <w:rsid w:val="000C6D71"/>
    <w:rsid w:val="000D0B48"/>
    <w:rsid w:val="000D0DE8"/>
    <w:rsid w:val="000E04E4"/>
    <w:rsid w:val="000F7AF7"/>
    <w:rsid w:val="00100A14"/>
    <w:rsid w:val="00101190"/>
    <w:rsid w:val="00102BAE"/>
    <w:rsid w:val="00112814"/>
    <w:rsid w:val="001176A4"/>
    <w:rsid w:val="00120066"/>
    <w:rsid w:val="00121D09"/>
    <w:rsid w:val="00126B08"/>
    <w:rsid w:val="00127E1A"/>
    <w:rsid w:val="00136357"/>
    <w:rsid w:val="00143D84"/>
    <w:rsid w:val="00146459"/>
    <w:rsid w:val="00151B06"/>
    <w:rsid w:val="0016035A"/>
    <w:rsid w:val="001701B8"/>
    <w:rsid w:val="00170EC2"/>
    <w:rsid w:val="001711ED"/>
    <w:rsid w:val="00183006"/>
    <w:rsid w:val="00186EB2"/>
    <w:rsid w:val="001920D9"/>
    <w:rsid w:val="00194DDD"/>
    <w:rsid w:val="001A1011"/>
    <w:rsid w:val="001B3D7F"/>
    <w:rsid w:val="001B41FE"/>
    <w:rsid w:val="001B5C5B"/>
    <w:rsid w:val="001C3A9F"/>
    <w:rsid w:val="001C6CC8"/>
    <w:rsid w:val="001D0BEA"/>
    <w:rsid w:val="001D40EE"/>
    <w:rsid w:val="001E527D"/>
    <w:rsid w:val="001E6991"/>
    <w:rsid w:val="001E7AE5"/>
    <w:rsid w:val="002204E5"/>
    <w:rsid w:val="002209D6"/>
    <w:rsid w:val="002270D8"/>
    <w:rsid w:val="00231BAD"/>
    <w:rsid w:val="00232F00"/>
    <w:rsid w:val="00253261"/>
    <w:rsid w:val="00253F60"/>
    <w:rsid w:val="00253FA5"/>
    <w:rsid w:val="002550E5"/>
    <w:rsid w:val="0026063C"/>
    <w:rsid w:val="0026102F"/>
    <w:rsid w:val="002618FE"/>
    <w:rsid w:val="0028520E"/>
    <w:rsid w:val="00293A22"/>
    <w:rsid w:val="002943C5"/>
    <w:rsid w:val="00295E49"/>
    <w:rsid w:val="002A1B64"/>
    <w:rsid w:val="002A2502"/>
    <w:rsid w:val="002B5E62"/>
    <w:rsid w:val="002B6F13"/>
    <w:rsid w:val="002B7CD8"/>
    <w:rsid w:val="002C1708"/>
    <w:rsid w:val="002C2307"/>
    <w:rsid w:val="002C2D0F"/>
    <w:rsid w:val="002C4CF0"/>
    <w:rsid w:val="002C60C8"/>
    <w:rsid w:val="002D2170"/>
    <w:rsid w:val="002D7DC7"/>
    <w:rsid w:val="002E5609"/>
    <w:rsid w:val="002F2877"/>
    <w:rsid w:val="002F6BD8"/>
    <w:rsid w:val="002F6CD7"/>
    <w:rsid w:val="00301E6F"/>
    <w:rsid w:val="00313911"/>
    <w:rsid w:val="00326D7D"/>
    <w:rsid w:val="00333A9D"/>
    <w:rsid w:val="00334F08"/>
    <w:rsid w:val="00335E0A"/>
    <w:rsid w:val="0033791F"/>
    <w:rsid w:val="00347E21"/>
    <w:rsid w:val="003515A1"/>
    <w:rsid w:val="00351E37"/>
    <w:rsid w:val="00352640"/>
    <w:rsid w:val="003579F4"/>
    <w:rsid w:val="0036236D"/>
    <w:rsid w:val="00363895"/>
    <w:rsid w:val="00367E21"/>
    <w:rsid w:val="00377EB9"/>
    <w:rsid w:val="00381623"/>
    <w:rsid w:val="003829AD"/>
    <w:rsid w:val="00387573"/>
    <w:rsid w:val="00396BB4"/>
    <w:rsid w:val="00397E86"/>
    <w:rsid w:val="003A057E"/>
    <w:rsid w:val="003A1181"/>
    <w:rsid w:val="003A67DB"/>
    <w:rsid w:val="003B4369"/>
    <w:rsid w:val="003D144C"/>
    <w:rsid w:val="003E39CC"/>
    <w:rsid w:val="003E5470"/>
    <w:rsid w:val="003F338D"/>
    <w:rsid w:val="003F33CE"/>
    <w:rsid w:val="00405020"/>
    <w:rsid w:val="0040731D"/>
    <w:rsid w:val="004074E1"/>
    <w:rsid w:val="00411AAD"/>
    <w:rsid w:val="00414098"/>
    <w:rsid w:val="00414E1E"/>
    <w:rsid w:val="00414F7D"/>
    <w:rsid w:val="00444CA3"/>
    <w:rsid w:val="00447079"/>
    <w:rsid w:val="00455B5C"/>
    <w:rsid w:val="00463B15"/>
    <w:rsid w:val="0046707B"/>
    <w:rsid w:val="00473777"/>
    <w:rsid w:val="00486894"/>
    <w:rsid w:val="00491FA5"/>
    <w:rsid w:val="00495E10"/>
    <w:rsid w:val="004B1C2B"/>
    <w:rsid w:val="004B46AD"/>
    <w:rsid w:val="004C0E33"/>
    <w:rsid w:val="004C21EC"/>
    <w:rsid w:val="004C527F"/>
    <w:rsid w:val="004D1D7F"/>
    <w:rsid w:val="004D2582"/>
    <w:rsid w:val="004D2B24"/>
    <w:rsid w:val="004D2D74"/>
    <w:rsid w:val="004D5FC1"/>
    <w:rsid w:val="004E5313"/>
    <w:rsid w:val="004F0602"/>
    <w:rsid w:val="004F346F"/>
    <w:rsid w:val="004F4480"/>
    <w:rsid w:val="004F72FD"/>
    <w:rsid w:val="00501B09"/>
    <w:rsid w:val="00501BDC"/>
    <w:rsid w:val="00505515"/>
    <w:rsid w:val="0051286F"/>
    <w:rsid w:val="00514B9A"/>
    <w:rsid w:val="0051634D"/>
    <w:rsid w:val="00520792"/>
    <w:rsid w:val="00526904"/>
    <w:rsid w:val="00531486"/>
    <w:rsid w:val="005315AA"/>
    <w:rsid w:val="00532E67"/>
    <w:rsid w:val="00543E0F"/>
    <w:rsid w:val="005466AE"/>
    <w:rsid w:val="0055488D"/>
    <w:rsid w:val="00565A96"/>
    <w:rsid w:val="005667CA"/>
    <w:rsid w:val="00571B4D"/>
    <w:rsid w:val="00580FDD"/>
    <w:rsid w:val="005835DF"/>
    <w:rsid w:val="00584624"/>
    <w:rsid w:val="00586EEB"/>
    <w:rsid w:val="00587995"/>
    <w:rsid w:val="0059329D"/>
    <w:rsid w:val="005A0C90"/>
    <w:rsid w:val="005A1277"/>
    <w:rsid w:val="005A150A"/>
    <w:rsid w:val="005A22BB"/>
    <w:rsid w:val="005A5CE5"/>
    <w:rsid w:val="005B4776"/>
    <w:rsid w:val="005B7093"/>
    <w:rsid w:val="005C1559"/>
    <w:rsid w:val="005C7BF1"/>
    <w:rsid w:val="005D4740"/>
    <w:rsid w:val="005E0F2A"/>
    <w:rsid w:val="005E781B"/>
    <w:rsid w:val="005E7CC0"/>
    <w:rsid w:val="005F7E45"/>
    <w:rsid w:val="00603C49"/>
    <w:rsid w:val="0061039A"/>
    <w:rsid w:val="006143A2"/>
    <w:rsid w:val="00616322"/>
    <w:rsid w:val="00617DA0"/>
    <w:rsid w:val="006210E5"/>
    <w:rsid w:val="00636B70"/>
    <w:rsid w:val="00641C43"/>
    <w:rsid w:val="0065240A"/>
    <w:rsid w:val="006559AA"/>
    <w:rsid w:val="00656B4E"/>
    <w:rsid w:val="00656EEE"/>
    <w:rsid w:val="00662B86"/>
    <w:rsid w:val="006640C7"/>
    <w:rsid w:val="006650C4"/>
    <w:rsid w:val="006659D1"/>
    <w:rsid w:val="00672E99"/>
    <w:rsid w:val="006837E4"/>
    <w:rsid w:val="00685FCC"/>
    <w:rsid w:val="0068665D"/>
    <w:rsid w:val="00692672"/>
    <w:rsid w:val="00692E40"/>
    <w:rsid w:val="00697F15"/>
    <w:rsid w:val="006A3720"/>
    <w:rsid w:val="006A38FB"/>
    <w:rsid w:val="006A5B07"/>
    <w:rsid w:val="006A7576"/>
    <w:rsid w:val="006B0392"/>
    <w:rsid w:val="006B37B8"/>
    <w:rsid w:val="006B57D1"/>
    <w:rsid w:val="006C0528"/>
    <w:rsid w:val="006C3C5D"/>
    <w:rsid w:val="006D3C9F"/>
    <w:rsid w:val="006D58FE"/>
    <w:rsid w:val="006D5A73"/>
    <w:rsid w:val="006E00EA"/>
    <w:rsid w:val="006E1265"/>
    <w:rsid w:val="006E2B63"/>
    <w:rsid w:val="006E428B"/>
    <w:rsid w:val="006E782D"/>
    <w:rsid w:val="006F0F50"/>
    <w:rsid w:val="006F7811"/>
    <w:rsid w:val="00710275"/>
    <w:rsid w:val="007112A1"/>
    <w:rsid w:val="007159B4"/>
    <w:rsid w:val="007206D6"/>
    <w:rsid w:val="007257C9"/>
    <w:rsid w:val="00734671"/>
    <w:rsid w:val="00734C4B"/>
    <w:rsid w:val="00745C56"/>
    <w:rsid w:val="007478F3"/>
    <w:rsid w:val="007514EF"/>
    <w:rsid w:val="0075420D"/>
    <w:rsid w:val="007631FA"/>
    <w:rsid w:val="007649D9"/>
    <w:rsid w:val="00781226"/>
    <w:rsid w:val="00781D8A"/>
    <w:rsid w:val="00787DDB"/>
    <w:rsid w:val="0079011B"/>
    <w:rsid w:val="00792172"/>
    <w:rsid w:val="00792684"/>
    <w:rsid w:val="00794797"/>
    <w:rsid w:val="00795629"/>
    <w:rsid w:val="00797D9C"/>
    <w:rsid w:val="007B38BF"/>
    <w:rsid w:val="007C0877"/>
    <w:rsid w:val="007C62FF"/>
    <w:rsid w:val="007C70C9"/>
    <w:rsid w:val="007E6B94"/>
    <w:rsid w:val="007E721D"/>
    <w:rsid w:val="00806FB0"/>
    <w:rsid w:val="0081126E"/>
    <w:rsid w:val="00811821"/>
    <w:rsid w:val="00811FD5"/>
    <w:rsid w:val="00831AA2"/>
    <w:rsid w:val="00832399"/>
    <w:rsid w:val="0083560B"/>
    <w:rsid w:val="008404AE"/>
    <w:rsid w:val="00842533"/>
    <w:rsid w:val="00846420"/>
    <w:rsid w:val="00847445"/>
    <w:rsid w:val="0085367B"/>
    <w:rsid w:val="00862A3B"/>
    <w:rsid w:val="00874A64"/>
    <w:rsid w:val="00875849"/>
    <w:rsid w:val="00885411"/>
    <w:rsid w:val="0088766B"/>
    <w:rsid w:val="008915FA"/>
    <w:rsid w:val="008A73E3"/>
    <w:rsid w:val="008A7F73"/>
    <w:rsid w:val="008B79E4"/>
    <w:rsid w:val="008B7E22"/>
    <w:rsid w:val="008D1C86"/>
    <w:rsid w:val="008D2816"/>
    <w:rsid w:val="008E34C7"/>
    <w:rsid w:val="008E4526"/>
    <w:rsid w:val="008F0462"/>
    <w:rsid w:val="008F17E7"/>
    <w:rsid w:val="00902380"/>
    <w:rsid w:val="00902A9F"/>
    <w:rsid w:val="0090491B"/>
    <w:rsid w:val="00910433"/>
    <w:rsid w:val="009161B3"/>
    <w:rsid w:val="00924D47"/>
    <w:rsid w:val="00927A65"/>
    <w:rsid w:val="009306B0"/>
    <w:rsid w:val="0093266D"/>
    <w:rsid w:val="009366BE"/>
    <w:rsid w:val="00943DDD"/>
    <w:rsid w:val="0094772D"/>
    <w:rsid w:val="009503CD"/>
    <w:rsid w:val="00953EDB"/>
    <w:rsid w:val="00964F5D"/>
    <w:rsid w:val="009707A3"/>
    <w:rsid w:val="00971009"/>
    <w:rsid w:val="00991E12"/>
    <w:rsid w:val="00993CF1"/>
    <w:rsid w:val="00993E8D"/>
    <w:rsid w:val="00993F3F"/>
    <w:rsid w:val="009A5461"/>
    <w:rsid w:val="009B126D"/>
    <w:rsid w:val="009B6B06"/>
    <w:rsid w:val="009B6F6C"/>
    <w:rsid w:val="009C0650"/>
    <w:rsid w:val="009C5167"/>
    <w:rsid w:val="009D1F62"/>
    <w:rsid w:val="009D2629"/>
    <w:rsid w:val="009D573D"/>
    <w:rsid w:val="009D7864"/>
    <w:rsid w:val="009F3BA8"/>
    <w:rsid w:val="009F4AB5"/>
    <w:rsid w:val="00A01F4E"/>
    <w:rsid w:val="00A208AF"/>
    <w:rsid w:val="00A21AC0"/>
    <w:rsid w:val="00A25C4B"/>
    <w:rsid w:val="00A34AA0"/>
    <w:rsid w:val="00A36CF1"/>
    <w:rsid w:val="00A42170"/>
    <w:rsid w:val="00A45610"/>
    <w:rsid w:val="00A45E5A"/>
    <w:rsid w:val="00A5131B"/>
    <w:rsid w:val="00A52FC6"/>
    <w:rsid w:val="00A56A37"/>
    <w:rsid w:val="00A64351"/>
    <w:rsid w:val="00A70862"/>
    <w:rsid w:val="00A708E9"/>
    <w:rsid w:val="00A860D1"/>
    <w:rsid w:val="00A96262"/>
    <w:rsid w:val="00A96CEE"/>
    <w:rsid w:val="00A978D4"/>
    <w:rsid w:val="00AA094D"/>
    <w:rsid w:val="00AA13BA"/>
    <w:rsid w:val="00AA19D3"/>
    <w:rsid w:val="00AA7656"/>
    <w:rsid w:val="00AB2A63"/>
    <w:rsid w:val="00AC2B44"/>
    <w:rsid w:val="00AC7321"/>
    <w:rsid w:val="00AD3999"/>
    <w:rsid w:val="00AD7930"/>
    <w:rsid w:val="00AE0427"/>
    <w:rsid w:val="00AE2766"/>
    <w:rsid w:val="00AE32E3"/>
    <w:rsid w:val="00AE5A07"/>
    <w:rsid w:val="00AF3ED4"/>
    <w:rsid w:val="00B01B8E"/>
    <w:rsid w:val="00B0302F"/>
    <w:rsid w:val="00B04CCC"/>
    <w:rsid w:val="00B14562"/>
    <w:rsid w:val="00B2396C"/>
    <w:rsid w:val="00B2513F"/>
    <w:rsid w:val="00B25415"/>
    <w:rsid w:val="00B34A0D"/>
    <w:rsid w:val="00B373F7"/>
    <w:rsid w:val="00B513E1"/>
    <w:rsid w:val="00B52899"/>
    <w:rsid w:val="00B646BB"/>
    <w:rsid w:val="00B67B4F"/>
    <w:rsid w:val="00B75969"/>
    <w:rsid w:val="00BB28F7"/>
    <w:rsid w:val="00BB4FC0"/>
    <w:rsid w:val="00BD1AC0"/>
    <w:rsid w:val="00BD1C97"/>
    <w:rsid w:val="00BE379E"/>
    <w:rsid w:val="00BE744F"/>
    <w:rsid w:val="00BE76BC"/>
    <w:rsid w:val="00C028EC"/>
    <w:rsid w:val="00C11B17"/>
    <w:rsid w:val="00C17610"/>
    <w:rsid w:val="00C21CF0"/>
    <w:rsid w:val="00C22066"/>
    <w:rsid w:val="00C307DE"/>
    <w:rsid w:val="00C40B03"/>
    <w:rsid w:val="00C422C0"/>
    <w:rsid w:val="00C46628"/>
    <w:rsid w:val="00C50811"/>
    <w:rsid w:val="00C56873"/>
    <w:rsid w:val="00C61BDA"/>
    <w:rsid w:val="00C63A75"/>
    <w:rsid w:val="00C64F87"/>
    <w:rsid w:val="00C70674"/>
    <w:rsid w:val="00C71509"/>
    <w:rsid w:val="00C80AAF"/>
    <w:rsid w:val="00C80CE3"/>
    <w:rsid w:val="00C81A5E"/>
    <w:rsid w:val="00C8260C"/>
    <w:rsid w:val="00C84BF3"/>
    <w:rsid w:val="00C92ECD"/>
    <w:rsid w:val="00CA42BF"/>
    <w:rsid w:val="00CA5D72"/>
    <w:rsid w:val="00CA79D8"/>
    <w:rsid w:val="00CC15E9"/>
    <w:rsid w:val="00CE0BE9"/>
    <w:rsid w:val="00CE0DFC"/>
    <w:rsid w:val="00CE6BE8"/>
    <w:rsid w:val="00CF5678"/>
    <w:rsid w:val="00D06C3E"/>
    <w:rsid w:val="00D06DCE"/>
    <w:rsid w:val="00D154CA"/>
    <w:rsid w:val="00D1792E"/>
    <w:rsid w:val="00D27907"/>
    <w:rsid w:val="00D27F33"/>
    <w:rsid w:val="00D4346C"/>
    <w:rsid w:val="00D4594E"/>
    <w:rsid w:val="00D46BEC"/>
    <w:rsid w:val="00D506C5"/>
    <w:rsid w:val="00D522C4"/>
    <w:rsid w:val="00D570A3"/>
    <w:rsid w:val="00D6167D"/>
    <w:rsid w:val="00D63E58"/>
    <w:rsid w:val="00D66630"/>
    <w:rsid w:val="00D76E99"/>
    <w:rsid w:val="00D7709D"/>
    <w:rsid w:val="00D82398"/>
    <w:rsid w:val="00D8281A"/>
    <w:rsid w:val="00D84186"/>
    <w:rsid w:val="00D853E8"/>
    <w:rsid w:val="00D87A80"/>
    <w:rsid w:val="00D95D9C"/>
    <w:rsid w:val="00DA0D74"/>
    <w:rsid w:val="00DA202D"/>
    <w:rsid w:val="00DA3436"/>
    <w:rsid w:val="00DB08CE"/>
    <w:rsid w:val="00DB5DE7"/>
    <w:rsid w:val="00DB6D6E"/>
    <w:rsid w:val="00DC04DE"/>
    <w:rsid w:val="00DD0F6D"/>
    <w:rsid w:val="00DD3F83"/>
    <w:rsid w:val="00DD4534"/>
    <w:rsid w:val="00DF0BE8"/>
    <w:rsid w:val="00DF2503"/>
    <w:rsid w:val="00DF75B2"/>
    <w:rsid w:val="00E073C1"/>
    <w:rsid w:val="00E16B6A"/>
    <w:rsid w:val="00E30091"/>
    <w:rsid w:val="00E33014"/>
    <w:rsid w:val="00E42253"/>
    <w:rsid w:val="00E434EC"/>
    <w:rsid w:val="00E43C33"/>
    <w:rsid w:val="00E670A2"/>
    <w:rsid w:val="00E8199E"/>
    <w:rsid w:val="00E97721"/>
    <w:rsid w:val="00EA1E70"/>
    <w:rsid w:val="00EB0F14"/>
    <w:rsid w:val="00EC1615"/>
    <w:rsid w:val="00EC182A"/>
    <w:rsid w:val="00ED0EDF"/>
    <w:rsid w:val="00ED2DC6"/>
    <w:rsid w:val="00EE34CA"/>
    <w:rsid w:val="00EE7B66"/>
    <w:rsid w:val="00EF0BF5"/>
    <w:rsid w:val="00EF3917"/>
    <w:rsid w:val="00F07EFF"/>
    <w:rsid w:val="00F10149"/>
    <w:rsid w:val="00F127E3"/>
    <w:rsid w:val="00F12C0E"/>
    <w:rsid w:val="00F144E5"/>
    <w:rsid w:val="00F21AEE"/>
    <w:rsid w:val="00F24528"/>
    <w:rsid w:val="00F41B8D"/>
    <w:rsid w:val="00F458CE"/>
    <w:rsid w:val="00F55BE6"/>
    <w:rsid w:val="00F55DA1"/>
    <w:rsid w:val="00F64157"/>
    <w:rsid w:val="00F65794"/>
    <w:rsid w:val="00F672A4"/>
    <w:rsid w:val="00F73300"/>
    <w:rsid w:val="00F753EB"/>
    <w:rsid w:val="00F81243"/>
    <w:rsid w:val="00F83987"/>
    <w:rsid w:val="00F90889"/>
    <w:rsid w:val="00F90CA4"/>
    <w:rsid w:val="00F95972"/>
    <w:rsid w:val="00F977EC"/>
    <w:rsid w:val="00FA4C96"/>
    <w:rsid w:val="00FA51B4"/>
    <w:rsid w:val="00FB7725"/>
    <w:rsid w:val="00FC4067"/>
    <w:rsid w:val="00FC64E7"/>
    <w:rsid w:val="00FD2537"/>
    <w:rsid w:val="00FD43BE"/>
    <w:rsid w:val="00FD5A15"/>
    <w:rsid w:val="00FE1A32"/>
    <w:rsid w:val="00FF0500"/>
    <w:rsid w:val="00FF256C"/>
    <w:rsid w:val="00FF5B96"/>
    <w:rsid w:val="019E1EBD"/>
    <w:rsid w:val="05E92C11"/>
    <w:rsid w:val="05FC0782"/>
    <w:rsid w:val="06D20B80"/>
    <w:rsid w:val="06E02EB3"/>
    <w:rsid w:val="06E939B7"/>
    <w:rsid w:val="08454E49"/>
    <w:rsid w:val="086A7059"/>
    <w:rsid w:val="0C624E09"/>
    <w:rsid w:val="0DEF26AA"/>
    <w:rsid w:val="0EFE4747"/>
    <w:rsid w:val="0F447ABC"/>
    <w:rsid w:val="11A95619"/>
    <w:rsid w:val="11BF1B83"/>
    <w:rsid w:val="11E060C0"/>
    <w:rsid w:val="167D6324"/>
    <w:rsid w:val="169A2956"/>
    <w:rsid w:val="17423475"/>
    <w:rsid w:val="178B0C75"/>
    <w:rsid w:val="186F1A1F"/>
    <w:rsid w:val="191D1DA1"/>
    <w:rsid w:val="19A37F45"/>
    <w:rsid w:val="19DE32B4"/>
    <w:rsid w:val="19FB3086"/>
    <w:rsid w:val="1AD8713C"/>
    <w:rsid w:val="1B996ED1"/>
    <w:rsid w:val="1BDC2920"/>
    <w:rsid w:val="1D903156"/>
    <w:rsid w:val="1DFB2F7E"/>
    <w:rsid w:val="1F0A40DE"/>
    <w:rsid w:val="1F13517D"/>
    <w:rsid w:val="200B1269"/>
    <w:rsid w:val="205238EA"/>
    <w:rsid w:val="208A6F05"/>
    <w:rsid w:val="20DE50A9"/>
    <w:rsid w:val="21212B3A"/>
    <w:rsid w:val="21C86BA2"/>
    <w:rsid w:val="252F5232"/>
    <w:rsid w:val="26FF7034"/>
    <w:rsid w:val="2849489E"/>
    <w:rsid w:val="2B93142F"/>
    <w:rsid w:val="2BE84F71"/>
    <w:rsid w:val="2C7E7A65"/>
    <w:rsid w:val="2E030E49"/>
    <w:rsid w:val="2E342CD8"/>
    <w:rsid w:val="2FE55925"/>
    <w:rsid w:val="33113EF8"/>
    <w:rsid w:val="33115993"/>
    <w:rsid w:val="33316E38"/>
    <w:rsid w:val="34AA0D82"/>
    <w:rsid w:val="35143235"/>
    <w:rsid w:val="376332A1"/>
    <w:rsid w:val="37C6096B"/>
    <w:rsid w:val="3A531D71"/>
    <w:rsid w:val="3CB25BB2"/>
    <w:rsid w:val="3CFD7DE6"/>
    <w:rsid w:val="3DEF2B92"/>
    <w:rsid w:val="3F74035C"/>
    <w:rsid w:val="426A695C"/>
    <w:rsid w:val="436F646B"/>
    <w:rsid w:val="451B7610"/>
    <w:rsid w:val="45596BEC"/>
    <w:rsid w:val="48844FE5"/>
    <w:rsid w:val="489E257C"/>
    <w:rsid w:val="490677FF"/>
    <w:rsid w:val="4A384591"/>
    <w:rsid w:val="4A8D0842"/>
    <w:rsid w:val="4B87445E"/>
    <w:rsid w:val="4BAF6CED"/>
    <w:rsid w:val="4BEB4FC9"/>
    <w:rsid w:val="508D4EAC"/>
    <w:rsid w:val="51AC53A8"/>
    <w:rsid w:val="51B66AA4"/>
    <w:rsid w:val="527F3CE3"/>
    <w:rsid w:val="544E2F0E"/>
    <w:rsid w:val="54EB0D4A"/>
    <w:rsid w:val="551F515E"/>
    <w:rsid w:val="55787CDB"/>
    <w:rsid w:val="5637609F"/>
    <w:rsid w:val="576A36B6"/>
    <w:rsid w:val="5C264778"/>
    <w:rsid w:val="5C4D6A59"/>
    <w:rsid w:val="5C9B0172"/>
    <w:rsid w:val="5F805CB4"/>
    <w:rsid w:val="62A00571"/>
    <w:rsid w:val="662B3BC4"/>
    <w:rsid w:val="67E305D8"/>
    <w:rsid w:val="689A4053"/>
    <w:rsid w:val="6CC24467"/>
    <w:rsid w:val="6D1A284B"/>
    <w:rsid w:val="6D2D0E29"/>
    <w:rsid w:val="72324D8B"/>
    <w:rsid w:val="77CB1742"/>
    <w:rsid w:val="7898091D"/>
    <w:rsid w:val="790C573D"/>
    <w:rsid w:val="7B63413F"/>
    <w:rsid w:val="7D9431EB"/>
    <w:rsid w:val="7F2E1040"/>
    <w:rsid w:val="7FE347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next w:val="1"/>
    <w:link w:val="24"/>
    <w:qFormat/>
    <w:uiPriority w:val="9"/>
    <w:pPr>
      <w:keepNext/>
      <w:keepLines/>
      <w:numPr>
        <w:ilvl w:val="0"/>
        <w:numId w:val="1"/>
      </w:numPr>
      <w:spacing w:before="120" w:after="120"/>
      <w:jc w:val="center"/>
      <w:outlineLvl w:val="0"/>
    </w:pPr>
    <w:rPr>
      <w:rFonts w:ascii="仿宋_GB2312" w:hAnsi="Times New Roman" w:eastAsia="仿宋_GB2312" w:cs="Times New Roman"/>
      <w:b/>
      <w:bCs/>
      <w:kern w:val="44"/>
      <w:sz w:val="44"/>
      <w:szCs w:val="44"/>
      <w:lang w:val="en-US" w:eastAsia="zh-CN" w:bidi="ar-SA"/>
    </w:rPr>
  </w:style>
  <w:style w:type="paragraph" w:styleId="2">
    <w:name w:val="heading 2"/>
    <w:basedOn w:val="1"/>
    <w:next w:val="1"/>
    <w:link w:val="25"/>
    <w:qFormat/>
    <w:uiPriority w:val="9"/>
    <w:pPr>
      <w:keepNext/>
      <w:keepLines/>
      <w:numPr>
        <w:ilvl w:val="1"/>
        <w:numId w:val="1"/>
      </w:numPr>
      <w:spacing w:before="120" w:after="120"/>
      <w:outlineLvl w:val="1"/>
    </w:pPr>
    <w:rPr>
      <w:rFonts w:ascii="仿宋_GB2312" w:hAnsi="Cambria" w:eastAsia="仿宋_GB2312"/>
      <w:b/>
      <w:bCs/>
      <w:sz w:val="32"/>
      <w:szCs w:val="32"/>
    </w:rPr>
  </w:style>
  <w:style w:type="paragraph" w:styleId="4">
    <w:name w:val="heading 3"/>
    <w:next w:val="1"/>
    <w:link w:val="27"/>
    <w:qFormat/>
    <w:uiPriority w:val="9"/>
    <w:pPr>
      <w:keepNext/>
      <w:keepLines/>
      <w:numPr>
        <w:ilvl w:val="2"/>
        <w:numId w:val="1"/>
      </w:numPr>
      <w:spacing w:before="120" w:after="120"/>
      <w:outlineLvl w:val="2"/>
    </w:pPr>
    <w:rPr>
      <w:rFonts w:ascii="仿宋_GB2312" w:hAnsi="Times New Roman" w:eastAsia="仿宋_GB2312" w:cs="Times New Roman"/>
      <w:b/>
      <w:bCs/>
      <w:kern w:val="2"/>
      <w:sz w:val="30"/>
      <w:szCs w:val="32"/>
      <w:lang w:val="en-US" w:eastAsia="zh-CN" w:bidi="ar-SA"/>
    </w:rPr>
  </w:style>
  <w:style w:type="paragraph" w:styleId="5">
    <w:name w:val="heading 4"/>
    <w:next w:val="1"/>
    <w:link w:val="28"/>
    <w:qFormat/>
    <w:uiPriority w:val="9"/>
    <w:pPr>
      <w:keepNext/>
      <w:keepLines/>
      <w:numPr>
        <w:ilvl w:val="3"/>
        <w:numId w:val="1"/>
      </w:numPr>
      <w:spacing w:before="120" w:after="120"/>
      <w:outlineLvl w:val="3"/>
    </w:pPr>
    <w:rPr>
      <w:rFonts w:ascii="仿宋_GB2312" w:hAnsi="Cambria" w:eastAsia="仿宋_GB2312" w:cs="Times New Roman"/>
      <w:b/>
      <w:bCs/>
      <w:kern w:val="2"/>
      <w:sz w:val="28"/>
      <w:szCs w:val="28"/>
      <w:lang w:val="en-US" w:eastAsia="zh-CN" w:bidi="ar-SA"/>
    </w:rPr>
  </w:style>
  <w:style w:type="paragraph" w:styleId="6">
    <w:name w:val="heading 5"/>
    <w:next w:val="1"/>
    <w:link w:val="23"/>
    <w:qFormat/>
    <w:uiPriority w:val="9"/>
    <w:pPr>
      <w:keepNext/>
      <w:keepLines/>
      <w:numPr>
        <w:ilvl w:val="4"/>
        <w:numId w:val="1"/>
      </w:numPr>
      <w:spacing w:before="120" w:after="120"/>
      <w:outlineLvl w:val="4"/>
    </w:pPr>
    <w:rPr>
      <w:rFonts w:ascii="仿宋_GB2312" w:hAnsi="Times New Roman" w:eastAsia="仿宋_GB2312" w:cs="Times New Roman"/>
      <w:b/>
      <w:bCs/>
      <w:kern w:val="2"/>
      <w:sz w:val="28"/>
      <w:szCs w:val="28"/>
      <w:lang w:val="en-US" w:eastAsia="zh-CN" w:bidi="ar-SA"/>
    </w:rPr>
  </w:style>
  <w:style w:type="paragraph" w:styleId="7">
    <w:name w:val="heading 6"/>
    <w:next w:val="1"/>
    <w:link w:val="29"/>
    <w:qFormat/>
    <w:uiPriority w:val="9"/>
    <w:pPr>
      <w:keepNext/>
      <w:keepLines/>
      <w:numPr>
        <w:ilvl w:val="5"/>
        <w:numId w:val="1"/>
      </w:numPr>
      <w:spacing w:before="120" w:after="120" w:line="360" w:lineRule="auto"/>
      <w:outlineLvl w:val="5"/>
    </w:pPr>
    <w:rPr>
      <w:rFonts w:ascii="仿宋_GB2312" w:hAnsi="Cambria" w:eastAsia="仿宋_GB2312" w:cs="Times New Roman"/>
      <w:b/>
      <w:bCs/>
      <w:kern w:val="2"/>
      <w:sz w:val="28"/>
      <w:szCs w:val="24"/>
      <w:lang w:val="en-US" w:eastAsia="zh-CN" w:bidi="ar-SA"/>
    </w:rPr>
  </w:style>
  <w:style w:type="paragraph" w:styleId="8">
    <w:name w:val="heading 7"/>
    <w:basedOn w:val="1"/>
    <w:next w:val="1"/>
    <w:link w:val="30"/>
    <w:qFormat/>
    <w:uiPriority w:val="9"/>
    <w:pPr>
      <w:keepNext/>
      <w:keepLines/>
      <w:numPr>
        <w:ilvl w:val="6"/>
        <w:numId w:val="1"/>
      </w:numPr>
      <w:spacing w:before="240" w:after="64" w:line="320" w:lineRule="auto"/>
      <w:outlineLvl w:val="6"/>
    </w:pPr>
    <w:rPr>
      <w:rFonts w:ascii="仿宋_GB2312" w:eastAsia="仿宋_GB2312"/>
      <w:b/>
      <w:bCs/>
      <w:sz w:val="24"/>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9">
    <w:name w:val="annotation text"/>
    <w:basedOn w:val="1"/>
    <w:link w:val="41"/>
    <w:unhideWhenUsed/>
    <w:qFormat/>
    <w:uiPriority w:val="99"/>
    <w:pPr>
      <w:jc w:val="left"/>
    </w:pPr>
  </w:style>
  <w:style w:type="paragraph" w:styleId="10">
    <w:name w:val="Body Text"/>
    <w:basedOn w:val="1"/>
    <w:link w:val="39"/>
    <w:unhideWhenUsed/>
    <w:qFormat/>
    <w:uiPriority w:val="99"/>
    <w:pPr>
      <w:spacing w:after="120"/>
    </w:pPr>
  </w:style>
  <w:style w:type="paragraph" w:styleId="11">
    <w:name w:val="Body Text Indent"/>
    <w:basedOn w:val="1"/>
    <w:link w:val="40"/>
    <w:semiHidden/>
    <w:unhideWhenUsed/>
    <w:qFormat/>
    <w:uiPriority w:val="99"/>
    <w:pPr>
      <w:spacing w:after="120"/>
      <w:ind w:left="420" w:leftChars="200"/>
    </w:pPr>
  </w:style>
  <w:style w:type="paragraph" w:styleId="12">
    <w:name w:val="Plain Text"/>
    <w:basedOn w:val="1"/>
    <w:link w:val="42"/>
    <w:qFormat/>
    <w:uiPriority w:val="0"/>
    <w:rPr>
      <w:rFonts w:ascii="宋体" w:hAnsi="Courier New"/>
      <w:szCs w:val="20"/>
    </w:rPr>
  </w:style>
  <w:style w:type="paragraph" w:styleId="13">
    <w:name w:val="Balloon Text"/>
    <w:basedOn w:val="1"/>
    <w:link w:val="44"/>
    <w:semiHidden/>
    <w:unhideWhenUsed/>
    <w:qFormat/>
    <w:uiPriority w:val="99"/>
    <w:rPr>
      <w:sz w:val="18"/>
      <w:szCs w:val="18"/>
    </w:rPr>
  </w:style>
  <w:style w:type="paragraph" w:styleId="14">
    <w:name w:val="footer"/>
    <w:basedOn w:val="1"/>
    <w:link w:val="3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5">
    <w:name w:val="header"/>
    <w:basedOn w:val="1"/>
    <w:link w:val="3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6">
    <w:name w:val="Normal (Web)"/>
    <w:basedOn w:val="1"/>
    <w:semiHidden/>
    <w:unhideWhenUsed/>
    <w:qFormat/>
    <w:uiPriority w:val="99"/>
    <w:pPr>
      <w:spacing w:beforeAutospacing="1" w:afterAutospacing="1"/>
      <w:jc w:val="left"/>
    </w:pPr>
    <w:rPr>
      <w:kern w:val="0"/>
      <w:sz w:val="24"/>
    </w:rPr>
  </w:style>
  <w:style w:type="paragraph" w:styleId="17">
    <w:name w:val="Title"/>
    <w:basedOn w:val="1"/>
    <w:next w:val="1"/>
    <w:link w:val="38"/>
    <w:qFormat/>
    <w:uiPriority w:val="99"/>
    <w:pPr>
      <w:spacing w:before="240" w:after="60"/>
      <w:jc w:val="center"/>
      <w:outlineLvl w:val="0"/>
    </w:pPr>
    <w:rPr>
      <w:rFonts w:ascii="Cambria" w:hAnsi="Cambria"/>
      <w:b/>
      <w:bCs/>
      <w:sz w:val="32"/>
      <w:szCs w:val="32"/>
    </w:rPr>
  </w:style>
  <w:style w:type="paragraph" w:styleId="18">
    <w:name w:val="annotation subject"/>
    <w:basedOn w:val="9"/>
    <w:next w:val="9"/>
    <w:link w:val="45"/>
    <w:semiHidden/>
    <w:unhideWhenUsed/>
    <w:qFormat/>
    <w:uiPriority w:val="99"/>
    <w:rPr>
      <w:b/>
      <w:bCs/>
    </w:rPr>
  </w:style>
  <w:style w:type="character" w:styleId="21">
    <w:name w:val="Emphasis"/>
    <w:basedOn w:val="20"/>
    <w:qFormat/>
    <w:uiPriority w:val="20"/>
    <w:rPr>
      <w:i/>
    </w:rPr>
  </w:style>
  <w:style w:type="character" w:styleId="22">
    <w:name w:val="annotation reference"/>
    <w:basedOn w:val="20"/>
    <w:semiHidden/>
    <w:unhideWhenUsed/>
    <w:qFormat/>
    <w:uiPriority w:val="99"/>
    <w:rPr>
      <w:sz w:val="21"/>
      <w:szCs w:val="21"/>
    </w:rPr>
  </w:style>
  <w:style w:type="character" w:customStyle="1" w:styleId="23">
    <w:name w:val="标题 5 字符"/>
    <w:link w:val="6"/>
    <w:qFormat/>
    <w:uiPriority w:val="9"/>
    <w:rPr>
      <w:rFonts w:ascii="仿宋_GB2312" w:hAnsi="Times New Roman" w:eastAsia="仿宋_GB2312" w:cs="Times New Roman"/>
      <w:b/>
      <w:bCs/>
      <w:sz w:val="28"/>
      <w:szCs w:val="28"/>
    </w:rPr>
  </w:style>
  <w:style w:type="character" w:customStyle="1" w:styleId="24">
    <w:name w:val="标题 1 字符"/>
    <w:link w:val="3"/>
    <w:qFormat/>
    <w:uiPriority w:val="9"/>
    <w:rPr>
      <w:rFonts w:ascii="仿宋_GB2312" w:hAnsi="Times New Roman" w:eastAsia="仿宋_GB2312" w:cs="Times New Roman"/>
      <w:b/>
      <w:bCs/>
      <w:kern w:val="44"/>
      <w:sz w:val="44"/>
      <w:szCs w:val="44"/>
    </w:rPr>
  </w:style>
  <w:style w:type="character" w:customStyle="1" w:styleId="25">
    <w:name w:val="标题 2 字符"/>
    <w:link w:val="2"/>
    <w:qFormat/>
    <w:uiPriority w:val="9"/>
    <w:rPr>
      <w:rFonts w:ascii="仿宋_GB2312" w:hAnsi="Cambria" w:eastAsia="仿宋_GB2312" w:cs="Times New Roman"/>
      <w:b/>
      <w:bCs/>
      <w:sz w:val="32"/>
      <w:szCs w:val="32"/>
    </w:rPr>
  </w:style>
  <w:style w:type="character" w:customStyle="1" w:styleId="26">
    <w:name w:val="标题 3 Char2"/>
    <w:qFormat/>
    <w:uiPriority w:val="0"/>
    <w:rPr>
      <w:rFonts w:ascii="黑体" w:hAnsi="黑体" w:eastAsia="仿宋_GB2312"/>
      <w:b/>
      <w:kern w:val="2"/>
      <w:sz w:val="28"/>
      <w:szCs w:val="32"/>
    </w:rPr>
  </w:style>
  <w:style w:type="character" w:customStyle="1" w:styleId="27">
    <w:name w:val="标题 3 字符"/>
    <w:link w:val="4"/>
    <w:qFormat/>
    <w:uiPriority w:val="9"/>
    <w:rPr>
      <w:rFonts w:ascii="仿宋_GB2312" w:hAnsi="Times New Roman" w:eastAsia="仿宋_GB2312" w:cs="Times New Roman"/>
      <w:b/>
      <w:bCs/>
      <w:sz w:val="30"/>
      <w:szCs w:val="32"/>
    </w:rPr>
  </w:style>
  <w:style w:type="character" w:customStyle="1" w:styleId="28">
    <w:name w:val="标题 4 字符"/>
    <w:link w:val="5"/>
    <w:qFormat/>
    <w:uiPriority w:val="9"/>
    <w:rPr>
      <w:rFonts w:ascii="仿宋_GB2312" w:hAnsi="Cambria" w:eastAsia="仿宋_GB2312" w:cs="Times New Roman"/>
      <w:b/>
      <w:bCs/>
      <w:sz w:val="28"/>
      <w:szCs w:val="28"/>
    </w:rPr>
  </w:style>
  <w:style w:type="character" w:customStyle="1" w:styleId="29">
    <w:name w:val="标题 6 字符"/>
    <w:link w:val="7"/>
    <w:qFormat/>
    <w:uiPriority w:val="9"/>
    <w:rPr>
      <w:rFonts w:ascii="仿宋_GB2312" w:hAnsi="Cambria" w:eastAsia="仿宋_GB2312" w:cs="Times New Roman"/>
      <w:b/>
      <w:bCs/>
      <w:sz w:val="28"/>
      <w:szCs w:val="24"/>
    </w:rPr>
  </w:style>
  <w:style w:type="character" w:customStyle="1" w:styleId="30">
    <w:name w:val="标题 7 字符"/>
    <w:link w:val="8"/>
    <w:qFormat/>
    <w:uiPriority w:val="9"/>
    <w:rPr>
      <w:rFonts w:ascii="仿宋_GB2312" w:hAnsi="Times New Roman" w:eastAsia="仿宋_GB2312" w:cs="Times New Roman"/>
      <w:b/>
      <w:bCs/>
      <w:sz w:val="24"/>
      <w:szCs w:val="24"/>
    </w:rPr>
  </w:style>
  <w:style w:type="paragraph" w:customStyle="1" w:styleId="31">
    <w:name w:val="_标题1"/>
    <w:basedOn w:val="3"/>
    <w:next w:val="1"/>
    <w:qFormat/>
    <w:uiPriority w:val="0"/>
    <w:pPr>
      <w:pageBreakBefore/>
      <w:numPr>
        <w:ilvl w:val="0"/>
        <w:numId w:val="2"/>
      </w:numPr>
      <w:spacing w:before="240" w:after="240" w:line="520" w:lineRule="exact"/>
    </w:pPr>
    <w:rPr>
      <w:rFonts w:ascii="仿宋" w:hAnsi="Calibri" w:eastAsia="仿宋" w:cs="仿宋"/>
    </w:rPr>
  </w:style>
  <w:style w:type="paragraph" w:customStyle="1" w:styleId="32">
    <w:name w:val="_标题2"/>
    <w:basedOn w:val="2"/>
    <w:next w:val="1"/>
    <w:qFormat/>
    <w:uiPriority w:val="0"/>
    <w:pPr>
      <w:spacing w:beforeLines="50" w:afterLines="50" w:line="416" w:lineRule="auto"/>
      <w:ind w:left="425" w:hanging="425"/>
    </w:pPr>
    <w:rPr>
      <w:rFonts w:ascii="宋体" w:hAnsi="Arial" w:eastAsia="宋体"/>
      <w:color w:val="000000"/>
      <w:kern w:val="0"/>
      <w:sz w:val="24"/>
    </w:rPr>
  </w:style>
  <w:style w:type="paragraph" w:customStyle="1" w:styleId="33">
    <w:name w:val="_标题3"/>
    <w:basedOn w:val="4"/>
    <w:next w:val="1"/>
    <w:qFormat/>
    <w:uiPriority w:val="0"/>
    <w:pPr>
      <w:spacing w:line="520" w:lineRule="exact"/>
      <w:ind w:left="425" w:hanging="425"/>
    </w:pPr>
    <w:rPr>
      <w:rFonts w:ascii="仿宋" w:hAnsi="Wingdings" w:eastAsia="仿宋" w:cs="仿宋"/>
      <w:bCs w:val="0"/>
      <w:sz w:val="36"/>
      <w:szCs w:val="36"/>
    </w:rPr>
  </w:style>
  <w:style w:type="paragraph" w:customStyle="1" w:styleId="34">
    <w:name w:val="_标题4"/>
    <w:basedOn w:val="5"/>
    <w:next w:val="1"/>
    <w:qFormat/>
    <w:uiPriority w:val="0"/>
    <w:pPr>
      <w:keepNext w:val="0"/>
      <w:numPr>
        <w:ilvl w:val="0"/>
        <w:numId w:val="0"/>
      </w:numPr>
      <w:spacing w:line="520" w:lineRule="exact"/>
      <w:ind w:left="425" w:hanging="425"/>
    </w:pPr>
    <w:rPr>
      <w:rFonts w:ascii="仿宋" w:hAnsi="仿宋" w:eastAsia="仿宋" w:cs="仿宋"/>
      <w:b w:val="0"/>
      <w:sz w:val="32"/>
      <w:szCs w:val="36"/>
    </w:rPr>
  </w:style>
  <w:style w:type="paragraph" w:customStyle="1" w:styleId="35">
    <w:name w:val="_标题6"/>
    <w:basedOn w:val="7"/>
    <w:next w:val="1"/>
    <w:qFormat/>
    <w:uiPriority w:val="0"/>
    <w:pPr>
      <w:keepNext w:val="0"/>
      <w:spacing w:line="240" w:lineRule="auto"/>
    </w:pPr>
    <w:rPr>
      <w:rFonts w:ascii="楷体_GB2312" w:hAnsi="仿宋" w:cs="仿宋"/>
      <w:b w:val="0"/>
      <w:bCs w:val="0"/>
      <w:szCs w:val="36"/>
    </w:rPr>
  </w:style>
  <w:style w:type="character" w:customStyle="1" w:styleId="36">
    <w:name w:val="页眉 字符"/>
    <w:basedOn w:val="20"/>
    <w:link w:val="15"/>
    <w:qFormat/>
    <w:uiPriority w:val="99"/>
    <w:rPr>
      <w:sz w:val="18"/>
      <w:szCs w:val="18"/>
    </w:rPr>
  </w:style>
  <w:style w:type="character" w:customStyle="1" w:styleId="37">
    <w:name w:val="页脚 字符"/>
    <w:basedOn w:val="20"/>
    <w:link w:val="14"/>
    <w:qFormat/>
    <w:uiPriority w:val="99"/>
    <w:rPr>
      <w:sz w:val="18"/>
      <w:szCs w:val="18"/>
    </w:rPr>
  </w:style>
  <w:style w:type="character" w:customStyle="1" w:styleId="38">
    <w:name w:val="标题 字符"/>
    <w:basedOn w:val="20"/>
    <w:link w:val="17"/>
    <w:qFormat/>
    <w:uiPriority w:val="99"/>
    <w:rPr>
      <w:rFonts w:ascii="Cambria" w:hAnsi="Cambria" w:eastAsia="宋体" w:cs="Times New Roman"/>
      <w:b/>
      <w:bCs/>
      <w:sz w:val="32"/>
      <w:szCs w:val="32"/>
    </w:rPr>
  </w:style>
  <w:style w:type="character" w:customStyle="1" w:styleId="39">
    <w:name w:val="正文文本 字符"/>
    <w:basedOn w:val="20"/>
    <w:link w:val="10"/>
    <w:qFormat/>
    <w:uiPriority w:val="99"/>
    <w:rPr>
      <w:rFonts w:ascii="Times New Roman" w:hAnsi="Times New Roman" w:eastAsia="宋体" w:cs="Times New Roman"/>
      <w:szCs w:val="24"/>
    </w:rPr>
  </w:style>
  <w:style w:type="character" w:customStyle="1" w:styleId="40">
    <w:name w:val="正文文本缩进 字符"/>
    <w:basedOn w:val="20"/>
    <w:link w:val="11"/>
    <w:semiHidden/>
    <w:qFormat/>
    <w:uiPriority w:val="99"/>
    <w:rPr>
      <w:rFonts w:ascii="Times New Roman" w:hAnsi="Times New Roman" w:eastAsia="宋体" w:cs="Times New Roman"/>
      <w:szCs w:val="24"/>
    </w:rPr>
  </w:style>
  <w:style w:type="character" w:customStyle="1" w:styleId="41">
    <w:name w:val="批注文字 字符"/>
    <w:basedOn w:val="20"/>
    <w:link w:val="9"/>
    <w:qFormat/>
    <w:uiPriority w:val="99"/>
    <w:rPr>
      <w:rFonts w:ascii="Times New Roman" w:hAnsi="Times New Roman" w:eastAsia="宋体" w:cs="Times New Roman"/>
      <w:szCs w:val="24"/>
    </w:rPr>
  </w:style>
  <w:style w:type="character" w:customStyle="1" w:styleId="42">
    <w:name w:val="纯文本 字符"/>
    <w:basedOn w:val="20"/>
    <w:link w:val="12"/>
    <w:qFormat/>
    <w:uiPriority w:val="0"/>
    <w:rPr>
      <w:rFonts w:ascii="宋体" w:hAnsi="Courier New" w:eastAsia="宋体" w:cs="Times New Roman"/>
      <w:szCs w:val="20"/>
    </w:rPr>
  </w:style>
  <w:style w:type="character" w:customStyle="1" w:styleId="43">
    <w:name w:val="纯文本 Char1"/>
    <w:qFormat/>
    <w:uiPriority w:val="0"/>
    <w:rPr>
      <w:rFonts w:hint="eastAsia" w:ascii="宋体" w:hAnsi="Courier New" w:eastAsia="宋体" w:cs="宋体"/>
      <w:kern w:val="2"/>
      <w:sz w:val="21"/>
    </w:rPr>
  </w:style>
  <w:style w:type="character" w:customStyle="1" w:styleId="44">
    <w:name w:val="批注框文本 字符"/>
    <w:basedOn w:val="20"/>
    <w:link w:val="13"/>
    <w:semiHidden/>
    <w:qFormat/>
    <w:uiPriority w:val="99"/>
    <w:rPr>
      <w:rFonts w:ascii="Times New Roman" w:hAnsi="Times New Roman" w:eastAsia="宋体" w:cs="Times New Roman"/>
      <w:sz w:val="18"/>
      <w:szCs w:val="18"/>
    </w:rPr>
  </w:style>
  <w:style w:type="character" w:customStyle="1" w:styleId="45">
    <w:name w:val="批注主题 字符"/>
    <w:basedOn w:val="41"/>
    <w:link w:val="18"/>
    <w:semiHidden/>
    <w:qFormat/>
    <w:uiPriority w:val="99"/>
    <w:rPr>
      <w:rFonts w:ascii="Times New Roman" w:hAnsi="Times New Roman" w:eastAsia="宋体" w:cs="Times New Roman"/>
      <w:b/>
      <w:bCs/>
      <w:kern w:val="2"/>
      <w:sz w:val="21"/>
      <w:szCs w:val="24"/>
    </w:rPr>
  </w:style>
  <w:style w:type="paragraph" w:customStyle="1" w:styleId="46">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47">
    <w:name w:val="表格文字"/>
    <w:qFormat/>
    <w:uiPriority w:val="0"/>
    <w:pPr>
      <w:widowControl w:val="0"/>
      <w:adjustRightInd w:val="0"/>
      <w:snapToGrid w:val="0"/>
      <w:spacing w:before="120" w:after="120" w:line="276" w:lineRule="auto"/>
      <w:jc w:val="center"/>
    </w:pPr>
    <w:rPr>
      <w:rFonts w:ascii="Arial" w:hAnsi="Arial" w:eastAsia="宋体" w:cs="Arial"/>
      <w:bCs/>
      <w:spacing w:val="20"/>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D30162-941D-4E53-A0A5-DF8DD45AC686}">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14</Pages>
  <Words>1798</Words>
  <Characters>10249</Characters>
  <Lines>85</Lines>
  <Paragraphs>24</Paragraphs>
  <TotalTime>7</TotalTime>
  <ScaleCrop>false</ScaleCrop>
  <LinksUpToDate>false</LinksUpToDate>
  <CharactersWithSpaces>12023</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2019-03-15T08:26:00Z</dcterms:created>
  <dc:creator>Administrator</dc:creator>
  <cp:lastModifiedBy>Administrator</cp:lastModifiedBy>
  <cp:lastPrinted>2019-03-14T01:47:00Z</cp:lastPrinted>
  <dcterms:modified xsi:type="dcterms:W3CDTF">2021-09-18T01:27:34Z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ICV">
    <vt:lpwstr>28AAD3A0E1944AA282F94F9A6A24909F</vt:lpwstr>
  </property>
</Properties>
</file>